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ТОО «WAYSTAR GROUP»</w:t>
      </w:r>
    </w:p>
    <w:p>
      <w:pPr>
        <w:pStyle w:val="Title"/>
      </w:pPr>
      <w:r>
        <w:rPr>
          <w:rFonts w:ascii="Calibri" w:hAnsi="Calibri"/>
          <w:color w:val="13294B"/>
        </w:rPr>
        <w:t>Стратегия на 5 лет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Лидерство в перевозках пищевых наливных грузов · Парк 20 → 5 000 · 2026–2031</w:t>
      </w:r>
    </w:p>
    <w:p>
      <w:pPr>
        <w:pStyle w:val="Heading1"/>
      </w:pPr>
      <w:r>
        <w:rPr>
          <w:rFonts w:ascii="Calibri" w:hAnsi="Calibri"/>
          <w:color w:val="13294B"/>
        </w:rPr>
        <w:t>Стратегическое резюме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Тезис. </w:t>
      </w:r>
      <w:r>
        <w:rPr>
          <w:b w:val="0"/>
          <w:i w:val="0"/>
          <w:color w:val="2A3746"/>
          <w:sz w:val="22"/>
        </w:rPr>
        <w:t xml:space="preserve">Waystar становится </w:t>
      </w:r>
      <w:r>
        <w:rPr>
          <w:b/>
          <w:i w:val="0"/>
          <w:color w:val="13294B"/>
          <w:sz w:val="22"/>
        </w:rPr>
        <w:t>оператором №1 пищевых цистерн в Казахстане</w:t>
      </w:r>
      <w:r>
        <w:rPr>
          <w:b w:val="0"/>
          <w:i w:val="0"/>
          <w:color w:val="2A3746"/>
          <w:sz w:val="22"/>
        </w:rPr>
        <w:t xml:space="preserve"> и Каспийско-Центральноазиатском регионе, наращивая парк с 20 до ~5 000 единиц (собственные + лизинг + партнёрская сеть) к 2031 году. Мы делаем ставку на быстрорастущую грузовую базу пищепрома — растительное масло, молоко, напитки, воду — и на специализацию, которую обычным перевозчикам не повторить.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Почему сейчас. </w:t>
      </w:r>
      <w:r>
        <w:rPr>
          <w:b w:val="0"/>
          <w:i w:val="0"/>
          <w:color w:val="2A3746"/>
          <w:sz w:val="22"/>
        </w:rPr>
        <w:t>Производство растительного масла +17,4% (экспорт +54%, №2 в Китай), молоко удваивается до 1,2 млн т за 3 года, инвестиции в пищепром +57,7%. Спрос на наливную пищевую логистику растёт двузначными темпами, а ниша фрагментирована — окно для консолидатора-лидера.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Как побеждаем. </w:t>
      </w:r>
      <w:r>
        <w:rPr>
          <w:b w:val="0"/>
          <w:i w:val="0"/>
          <w:color w:val="2A3746"/>
          <w:sz w:val="22"/>
        </w:rPr>
        <w:t>Специализация и инфраструктура (санитарные мойки цистерн, пищевая сертификация, прослеживаемость) как барьер; плотность маршрутов и обратная загрузка → лучшая экономика на цистерну; долгосрочные контракты с заводами; масштаб в закупке и финансировании парка.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Как финансируем рост. </w:t>
      </w:r>
      <w:r>
        <w:rPr>
          <w:b w:val="0"/>
          <w:i w:val="0"/>
          <w:color w:val="2A3746"/>
          <w:sz w:val="22"/>
        </w:rPr>
        <w:t xml:space="preserve">5 000 собственных цистерн — это ~$750 млн капитала, поэтому цель формулируется как </w:t>
      </w:r>
      <w:r>
        <w:rPr>
          <w:b/>
          <w:i w:val="0"/>
          <w:color w:val="13294B"/>
          <w:sz w:val="22"/>
        </w:rPr>
        <w:t>5 000 единиц под управлением</w:t>
      </w:r>
      <w:r>
        <w:rPr>
          <w:b w:val="0"/>
          <w:i w:val="0"/>
          <w:color w:val="2A3746"/>
          <w:sz w:val="22"/>
        </w:rPr>
        <w:t>: компактное собственное ядро + лизинг + партнёрский парк + покупка региональных перевозчиков. Это и достижимо, и капиталоэффективно.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Статус. </w:t>
      </w:r>
      <w:r>
        <w:rPr>
          <w:b w:val="0"/>
          <w:i w:val="0"/>
          <w:color w:val="6B7A8D"/>
          <w:sz w:val="22"/>
        </w:rPr>
        <w:t>Проект стратегии. Абсолютные финансовые значения — иллюстративные (привязать к фактической выручке и юнит-экономике); рыночные данные — по открытым источникам (раздел «Источники»).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Диагностика: где мы и где рынок</w:t>
      </w:r>
    </w:p>
    <w:p>
      <w:pPr>
        <w:pStyle w:val="Heading2"/>
      </w:pPr>
      <w:r>
        <w:rPr>
          <w:rFonts w:ascii="Calibri" w:hAnsi="Calibri"/>
          <w:color w:val="2F6690"/>
        </w:rPr>
        <w:t>1.1. Компания сегодня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Актив-модель. </w:t>
      </w:r>
      <w:r>
        <w:rPr>
          <w:b w:val="0"/>
          <w:color w:val="2A3746"/>
          <w:sz w:val="22"/>
        </w:rPr>
        <w:t>20 собственных единиц, команда 13 человек; специализация — пищевые наливные перевозки.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Управленческая база. </w:t>
      </w:r>
      <w:r>
        <w:rPr>
          <w:b w:val="0"/>
          <w:color w:val="2A3746"/>
          <w:sz w:val="22"/>
        </w:rPr>
        <w:t>Внедряются система мотивации 75/25 и операционная модель управления — фундамент для масштабирования.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Пробелы. </w:t>
      </w:r>
      <w:r>
        <w:rPr>
          <w:b w:val="0"/>
          <w:color w:val="2A3746"/>
          <w:sz w:val="22"/>
        </w:rPr>
        <w:t>Тяжёлый верх, нет выделенного владельца выручки, парк мал для лидерства, инфраструктура (мойки, сервис) — под текущий объём.</w:t>
      </w:r>
    </w:p>
    <w:p>
      <w:pPr>
        <w:pStyle w:val="Heading2"/>
      </w:pPr>
      <w:r>
        <w:rPr>
          <w:rFonts w:ascii="Calibri" w:hAnsi="Calibri"/>
          <w:color w:val="2F6690"/>
        </w:rPr>
        <w:t>1.2. Рынок и драйверы спроса (открытые данные)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3294B"/>
          </w:tcPr>
          <w:p>
            <w:r>
              <w:rPr>
                <w:b/>
                <w:color w:val="FFFFFF"/>
                <w:sz w:val="19"/>
              </w:rPr>
              <w:t>Драйвер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835"/>
            <w:shd w:val="clear" w:fill="13294B"/>
          </w:tcPr>
          <w:p>
            <w:r>
              <w:rPr>
                <w:b/>
                <w:color w:val="FFFFFF"/>
                <w:sz w:val="19"/>
              </w:rPr>
              <w:t>Значение для нас</w:t>
            </w:r>
          </w:p>
        </w:tc>
      </w:tr>
      <w:tr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Растительное масло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Производство 888,8 тыс т (+17,4%); мощности &gt;5,2 млн т; экспорт $944 млн (+54%), №2 в Китай; цель топ-3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Наливные потоки масла: завод → порт/экспорт, рост объёмов и плеча</w:t>
            </w:r>
          </w:p>
        </w:tc>
      </w:tr>
      <w:tr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Молоко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&gt;600 тыс т (+20% с 2021); удвоение до 1,2 млн т за 3 года; инвестиции 200 млрд ₸ (2025)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Сбор сырого молока и межзаводские перевозки — растущий спрос на цистерны</w:t>
            </w:r>
          </w:p>
        </w:tc>
      </w:tr>
      <w:tr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Пищепром в целом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Инвестиции в основной капитал +57,7%; напитки, вода, соки, жидкий сахар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Расширение грузовой базы пищевых наливных</w:t>
            </w:r>
          </w:p>
        </w:tc>
      </w:tr>
      <w:tr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Логистика РК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$29,3 → 36,2 млрд (к 2030); автоперевозки ~58% рынка, +18,2%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Растущий и «дорожающий» рынок автоперевозок</w:t>
            </w:r>
          </w:p>
        </w:tc>
      </w:tr>
      <w:tr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Транскаспийский маршрут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4–5 млн т (×3–4 за декаду, до 11 млн т к 2030)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Экспортные плечи для масла и пищевых грузов в Китай/ЕС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Вывод диагностики: </w:t>
      </w:r>
      <w:r>
        <w:rPr>
          <w:b w:val="0"/>
          <w:i w:val="0"/>
          <w:color w:val="2A3746"/>
          <w:sz w:val="22"/>
        </w:rPr>
        <w:t>спрос на пищевые цистерны структурно растёт двузначными темпами; сегмент специализированный, высокобарьерный и фрагментированный — классическое окно для игрока, который первым построит масштаб и инфраструктуру.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Стратегическая амбиция (2031)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3EC"/>
          </w:tcPr>
          <w:p>
            <w:r>
              <w:rPr>
                <w:b/>
                <w:color w:val="13294B"/>
                <w:sz w:val="21"/>
              </w:rPr>
              <w:t>Видение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Waystar — оператор №1 пищевых цистерн в Казахстане и регионе Каспия/Центральной Азии: надёжный, сертифицированный, с самой плотной сетью и лучшей экономикой на цистерну.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Цели на 5 лет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Сегодня</w:t>
            </w:r>
          </w:p>
        </w:tc>
        <w:tc>
          <w:tcPr>
            <w:tcW w:type="dxa" w:w="4309"/>
            <w:shd w:val="clear" w:fill="13294B"/>
          </w:tcPr>
          <w:p>
            <w:r>
              <w:rPr>
                <w:b/>
                <w:color w:val="FFFFFF"/>
                <w:sz w:val="19"/>
              </w:rPr>
              <w:t>Цель 2031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Парк под управлением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 единиц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≈ 5 000 единиц (собственные + лизинг + партнёры)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Позиция на рынке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нишевый игрок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№1 в пищевых наливных перевозках РК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Грузовая база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ограниченная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масло, молоко, напитки, вода, жидкий сахар — якорные контракты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Инфраструктура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под текущий объём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сеть санитарных моек и сервиса в ключевых регионах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Сертификация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базовая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пищевая безопасность (ХАССП/ИСО 22000), прослеживаемость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Операционная маржа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~6–8% (оценка)</w:t>
            </w:r>
          </w:p>
        </w:tc>
        <w:tc>
          <w:tcPr>
            <w:tcW w:type="dxa" w:w="430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15–18% за счёт масштаба и обратной загрузки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География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внутренняя</w:t>
            </w:r>
          </w:p>
        </w:tc>
        <w:tc>
          <w:tcPr>
            <w:tcW w:type="dxa" w:w="430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внутренние потоки + экспортные плечи (Китай, ЦА, Каспий)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2E7D46"/>
          <w:sz w:val="22"/>
        </w:rPr>
        <w:t xml:space="preserve">Главная цель (ориентир). </w:t>
      </w:r>
      <w:r>
        <w:rPr>
          <w:b w:val="0"/>
          <w:i w:val="0"/>
          <w:color w:val="2A3746"/>
          <w:sz w:val="22"/>
        </w:rPr>
        <w:t>«5 000 цистерн под управлением» как компас на 5 лет. Это ориентир для планирования; ежегодные вехи привязаны к финансированию и грузовой базе (раздел 6).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Где играем</w:t>
      </w:r>
    </w:p>
    <w:p>
      <w:pPr>
        <w:pStyle w:val="Heading2"/>
      </w:pPr>
      <w:r>
        <w:rPr>
          <w:rFonts w:ascii="Calibri" w:hAnsi="Calibri"/>
          <w:color w:val="2F6690"/>
        </w:rPr>
        <w:t>3.1. Грузы (фокус — только пищевые наливные)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19"/>
              </w:rPr>
              <w:t>Грузовая группа</w:t>
            </w:r>
          </w:p>
        </w:tc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9"/>
              </w:rPr>
              <w:t>Потоки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Динамика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Растительное масло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Заводы → порты/экспорт (Китай), межзаводские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+17,4% пр-во, +54% экспорт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Сырое молоко и молочные</w:t>
            </w:r>
          </w:p>
        </w:tc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Фермы → комбинаты, межзаводские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удвоение к ~2028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Напитки, соки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Производители → распределение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рост с пищепромом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Питьевая вода</w:t>
            </w:r>
          </w:p>
        </w:tc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Источники/заводы → сети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стабильный спрос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Жидкий сахар, патока, ингредиенты</w:t>
            </w:r>
          </w:p>
        </w:tc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Заводы → пищевые производства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нишевый рост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3.2. География и клиенты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Внутренние потоки: масличный пояс (Костанайская, СКО, Акмолинская, ВКО), молочные регионы, промышленные центры (Алматы, Астана, Шымкент).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Экспортные плечи: Китай (через Хоргос/Достык), Центральная Азия, Каспий (Актау/Курык) — для масла и пищевых грузов.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Клиенты-якоря: масложировые заводы (~90 предприятий), молочные комбинаты, производители напитков и воды, экспортёры.</w:t>
      </w:r>
    </w:p>
    <w:p>
      <w:pPr>
        <w:pStyle w:val="Heading2"/>
      </w:pPr>
      <w:r>
        <w:rPr>
          <w:rFonts w:ascii="Calibri" w:hAnsi="Calibri"/>
          <w:color w:val="C4772F"/>
        </w:rPr>
        <w:t>3.3. Чего НЕ делаем (фокус = сила)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Не распыляемся на общий сухой фрахт и генеральные грузы. Специализация на пищевых наливных — это и есть барьер и премия к тарифу. Смежные наливные (технические пищевые ингредиенты) — только если не размывают пищевую сертификацию.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Как побеждаем (источники преимущества)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Специализация и инфраструктура. </w:t>
      </w:r>
      <w:r>
        <w:rPr>
          <w:b w:val="0"/>
          <w:color w:val="2A3746"/>
          <w:sz w:val="22"/>
        </w:rPr>
        <w:t>Сеть санитарных моек цистерн, пищевая сертификация (ХАССП/ИСО 22000), температурный режим и прослеживаемость. Это барьер, который обычный перевозчик быстро не построит.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Плотность и обратная загрузка. </w:t>
      </w:r>
      <w:r>
        <w:rPr>
          <w:b w:val="0"/>
          <w:color w:val="2A3746"/>
          <w:sz w:val="22"/>
        </w:rPr>
        <w:t>Связки маршрутов (масло — в одну сторону, вода/другой пищевой груз — обратно) и минимальный порожний пробег. В наливных перевозках именно это определяет экономику цистерны.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Контрактная модель. </w:t>
      </w:r>
      <w:r>
        <w:rPr>
          <w:b w:val="0"/>
          <w:color w:val="2A3746"/>
          <w:sz w:val="22"/>
        </w:rPr>
        <w:t>Долгосрочные договоры с заводами и выделенный под клиента парк → предсказуемая «липкая» выручка вместо разовых рейсов.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Эффект масштаба. </w:t>
      </w:r>
      <w:r>
        <w:rPr>
          <w:b w:val="0"/>
          <w:color w:val="2A3746"/>
          <w:sz w:val="22"/>
        </w:rPr>
        <w:t>Оптовая закупка и финансирование цистерн, топливо, ремонт, страхование — ниже удельные затраты, чем у мелких перевозчиков.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Цифра и контроль. </w:t>
      </w:r>
      <w:r>
        <w:rPr>
          <w:b w:val="0"/>
          <w:color w:val="2A3746"/>
          <w:sz w:val="22"/>
        </w:rPr>
        <w:t>Телеметрия, контроль мойки и температуры, маржа на рейс в реальном времени — качество для пищевого клиента и управляемость.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3EC"/>
          </w:tcPr>
          <w:p>
            <w:r>
              <w:rPr>
                <w:b/>
                <w:color w:val="2E7D46"/>
                <w:sz w:val="21"/>
              </w:rPr>
              <w:t>Экономический смысл преимущества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Специализация → премия к тарифу и барьер входа.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Обратная загрузка → +маржа на цистерну без роста тарифа.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Контракты → загрузка парка и доступ к финансированию под выручку.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Масштаб → снижение удельных затрат и переговорная сила.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Стратегические столпы и горизонты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Три горизонта роста. </w:t>
      </w:r>
      <w:r>
        <w:rPr>
          <w:b w:val="0"/>
          <w:i w:val="0"/>
          <w:color w:val="2A3746"/>
          <w:sz w:val="22"/>
        </w:rPr>
        <w:t>Горизонт 1 (годы 1–2) — навести порядок в ядре и захватить растущую долю; Горизонт 2 (годы 3–4) — масштабировать парк и контракты; Горизонт 3 (год 5+) — интегрированный лидер рынка.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Столп</w:t>
            </w:r>
          </w:p>
        </w:tc>
        <w:tc>
          <w:tcPr>
            <w:tcW w:type="dxa" w:w="5102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делаем</w:t>
            </w:r>
          </w:p>
        </w:tc>
        <w:tc>
          <w:tcPr>
            <w:tcW w:type="dxa" w:w="1020"/>
            <w:shd w:val="clear" w:fill="13294B"/>
          </w:tcPr>
          <w:p>
            <w:r>
              <w:rPr>
                <w:b/>
                <w:color w:val="FFFFFF"/>
                <w:sz w:val="19"/>
              </w:rPr>
              <w:t>Горизонт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1. Ядро: пищевые цистерны №1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Флот под пищевые наливные, санитарные мойки, сертификация, стандарты качества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2. Двигатель парка 20→5000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Собственное ядро + лизинг + партнёрская сеть + покупка региональных перевозчиков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3. Якорные контракты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Долгосрочные договоры с маслозаводами, молкомбинатами, производителями напитков; экспортные плечи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1–2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4. Операционная эффективность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Обратная загрузка, маржа на рейс, телеметрия, сеть моек и сервиса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5. Финансовый двигатель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Лизинг, БРК/агро-финансирование, финансирование под активы, авансы/СП с грузоотправителями</w:t>
            </w:r>
          </w:p>
        </w:tc>
        <w:tc>
          <w:tcPr>
            <w:tcW w:type="dxa" w:w="102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6. Люди и управление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Масштабный набор и удержание водителей; система 75/25 и операционная модель</w:t>
            </w:r>
          </w:p>
        </w:tc>
        <w:tc>
          <w:tcPr>
            <w:tcW w:type="dxa" w:w="102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1–3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6. Модель роста парка и финансы</w:t>
      </w:r>
    </w:p>
    <w:p>
      <w:pPr>
        <w:pStyle w:val="Heading2"/>
      </w:pPr>
      <w:r>
        <w:rPr>
          <w:rFonts w:ascii="Calibri" w:hAnsi="Calibri"/>
          <w:color w:val="2F6690"/>
        </w:rPr>
        <w:t>6.1. Траектория парка (единиц под управлением)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</w:t>
            </w:r>
          </w:p>
        </w:tc>
        <w:tc>
          <w:tcPr>
            <w:tcW w:type="dxa" w:w="1587"/>
            <w:shd w:val="clear" w:fill="13294B"/>
          </w:tcPr>
          <w:p>
            <w:r>
              <w:rPr>
                <w:b/>
                <w:color w:val="FFFFFF"/>
                <w:sz w:val="19"/>
              </w:rPr>
              <w:t>Собственные</w:t>
            </w:r>
          </w:p>
        </w:tc>
        <w:tc>
          <w:tcPr>
            <w:tcW w:type="dxa" w:w="1361"/>
            <w:shd w:val="clear" w:fill="13294B"/>
          </w:tcPr>
          <w:p>
            <w:r>
              <w:rPr>
                <w:b/>
                <w:color w:val="FFFFFF"/>
                <w:sz w:val="19"/>
              </w:rPr>
              <w:t>Лизинг</w:t>
            </w:r>
          </w:p>
        </w:tc>
        <w:tc>
          <w:tcPr>
            <w:tcW w:type="dxa" w:w="2154"/>
            <w:shd w:val="clear" w:fill="13294B"/>
          </w:tcPr>
          <w:p>
            <w:r>
              <w:rPr>
                <w:b/>
                <w:color w:val="FFFFFF"/>
                <w:sz w:val="19"/>
              </w:rPr>
              <w:t>Партнёрские / управляемые</w:t>
            </w:r>
          </w:p>
        </w:tc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Всего парк</w:t>
            </w:r>
          </w:p>
        </w:tc>
        <w:tc>
          <w:tcPr>
            <w:tcW w:type="dxa" w:w="1361"/>
            <w:shd w:val="clear" w:fill="13294B"/>
          </w:tcPr>
          <w:p>
            <w:r>
              <w:rPr>
                <w:b/>
                <w:color w:val="FFFFFF"/>
                <w:sz w:val="19"/>
              </w:rPr>
              <w:t>Водители (≈)</w:t>
            </w:r>
          </w:p>
        </w:tc>
      </w:tr>
      <w:tr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Сейчас</w:t>
            </w:r>
          </w:p>
        </w:tc>
        <w:tc>
          <w:tcPr>
            <w:tcW w:type="dxa" w:w="158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~25</w:t>
            </w:r>
          </w:p>
        </w:tc>
      </w:tr>
      <w:tr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Год 1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40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~150</w:t>
            </w:r>
          </w:p>
        </w:tc>
      </w:tr>
      <w:tr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Год 2</w:t>
            </w:r>
          </w:p>
        </w:tc>
        <w:tc>
          <w:tcPr>
            <w:tcW w:type="dxa" w:w="158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180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150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120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~560</w:t>
            </w:r>
          </w:p>
        </w:tc>
      </w:tr>
      <w:tr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Год 3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500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500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300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1 300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~1 600</w:t>
            </w:r>
          </w:p>
        </w:tc>
      </w:tr>
      <w:tr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Год 4</w:t>
            </w:r>
          </w:p>
        </w:tc>
        <w:tc>
          <w:tcPr>
            <w:tcW w:type="dxa" w:w="158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1 000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1 200</w:t>
            </w:r>
          </w:p>
        </w:tc>
        <w:tc>
          <w:tcPr>
            <w:tcW w:type="dxa" w:w="215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600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2 800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~3 500</w:t>
            </w:r>
          </w:p>
        </w:tc>
      </w:tr>
      <w:tr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Год 5</w:t>
            </w:r>
          </w:p>
        </w:tc>
        <w:tc>
          <w:tcPr>
            <w:tcW w:type="dxa" w:w="158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1 500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2 200</w:t>
            </w:r>
          </w:p>
        </w:tc>
        <w:tc>
          <w:tcPr>
            <w:tcW w:type="dxa" w:w="215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1 300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5 000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~6 200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Логика: </w:t>
      </w:r>
      <w:r>
        <w:rPr>
          <w:b w:val="0"/>
          <w:i w:val="0"/>
          <w:color w:val="2A3746"/>
          <w:sz w:val="22"/>
        </w:rPr>
        <w:t>собственное ядро растёт умеренно (капиталоёмко), основной объём — через лизинг и партнёрскую/управляемую сеть. Так «5 000» достижимо без покупки 5 000 машин в собственность.</w:t>
      </w:r>
    </w:p>
    <w:p>
      <w:pPr>
        <w:pStyle w:val="Heading2"/>
      </w:pPr>
      <w:r>
        <w:rPr>
          <w:rFonts w:ascii="Calibri" w:hAnsi="Calibri"/>
          <w:color w:val="2F6690"/>
        </w:rPr>
        <w:t>6.2. Капитал и финансирование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Стоимость сцепки «тягач + пищевая цистерна» ≈ 70–80 млн ₸ (~$150 тыс).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Собственный + лизинговый парк к году 5 (~3 700 ед.) → потребность ~260–290 млрд ₸; доля лизинга/долга ~75–80%.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Источники: лизинг, Банк развития Казахстана и агро-финансирование, финансирование под активы (сами цистерны — залог), авансы и совместные предприятия с грузоотправителями, реинвест прибыли.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Партнёрский парк — капитал не наш: доход через управление, диспетчеризацию и стандарты качества.</w:t>
      </w:r>
    </w:p>
    <w:p>
      <w:pPr>
        <w:pStyle w:val="Heading2"/>
      </w:pPr>
      <w:r>
        <w:rPr>
          <w:rFonts w:ascii="Calibri" w:hAnsi="Calibri"/>
          <w:color w:val="2F6690"/>
        </w:rPr>
        <w:t>6.3. Юнит-экономика и P&amp;L (иллюстративно — заменить на факт)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721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Сейчас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1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2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3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4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Год 5</w:t>
            </w:r>
          </w:p>
        </w:tc>
      </w:tr>
      <w:tr>
        <w:tc>
          <w:tcPr>
            <w:tcW w:type="dxa" w:w="272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Парк, единиц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120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1 300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2 800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5 000</w:t>
            </w:r>
          </w:p>
        </w:tc>
      </w:tr>
      <w:tr>
        <w:tc>
          <w:tcPr>
            <w:tcW w:type="dxa" w:w="272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Выручка, индекс (сейчас=100)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380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1 150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2 900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5 600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9 000</w:t>
            </w:r>
          </w:p>
        </w:tc>
      </w:tr>
      <w:tr>
        <w:tc>
          <w:tcPr>
            <w:tcW w:type="dxa" w:w="272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Валовая маржа, %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22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22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23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24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26</w:t>
            </w:r>
          </w:p>
        </w:tc>
      </w:tr>
      <w:tr>
        <w:tc>
          <w:tcPr>
            <w:tcW w:type="dxa" w:w="272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Операционная маржа, %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</w:t>
            </w:r>
          </w:p>
        </w:tc>
        <w:tc>
          <w:tcPr>
            <w:tcW w:type="dxa" w:w="113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17</w:t>
            </w:r>
          </w:p>
        </w:tc>
      </w:tr>
      <w:tr>
        <w:tc>
          <w:tcPr>
            <w:tcW w:type="dxa" w:w="272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Окупаемость цистерны, лет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~4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~4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~3,5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~3,5</w:t>
            </w:r>
          </w:p>
        </w:tc>
        <w:tc>
          <w:tcPr>
            <w:tcW w:type="dxa" w:w="113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~3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Выручка на цистерну (~45–55 млн ₸/год) и маржа — базовые допущения; их нужно подтвердить фактической юнит-экономикой. Рост выручки масштабируется прежде всего собственным и лизинговым парком; партнёрский парк даёт управленческий доход.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7. Что нужно построить (возможности)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19"/>
              </w:rPr>
              <w:t>Возможность</w:t>
            </w:r>
          </w:p>
        </w:tc>
        <w:tc>
          <w:tcPr>
            <w:tcW w:type="dxa" w:w="3969"/>
            <w:shd w:val="clear" w:fill="13294B"/>
          </w:tcPr>
          <w:p>
            <w:r>
              <w:rPr>
                <w:b/>
                <w:color w:val="FFFFFF"/>
                <w:sz w:val="19"/>
              </w:rPr>
              <w:t>Зачем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Сеть санитарных моек цистерн</w:t>
            </w:r>
          </w:p>
        </w:tc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Пищевая безопасность и обратная загрузка; узкое место при росте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Высокий (год 1)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Пищевая сертификация и стандарты</w:t>
            </w:r>
          </w:p>
        </w:tc>
        <w:tc>
          <w:tcPr>
            <w:tcW w:type="dxa" w:w="396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Допуск к крупным заводам и экспорту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Высокий (год 1)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Ремонтно-сервисная база</w:t>
            </w:r>
          </w:p>
        </w:tc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Готовность парка (простой = потеря денег)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Высокий (год 1–2)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Набор и обучение водителей</w:t>
            </w:r>
          </w:p>
        </w:tc>
        <w:tc>
          <w:tcPr>
            <w:tcW w:type="dxa" w:w="396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5 000 машин ≈ 6 000+ водителей — отдельный мега-проект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Высокий (постоянно)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Диспетчеризация и телеметрия</w:t>
            </w:r>
          </w:p>
        </w:tc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Маржа на рейс, обратная загрузка, контроль качества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Высокий (год 1–2)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Финансовая функция под лизинг</w:t>
            </w:r>
          </w:p>
        </w:tc>
        <w:tc>
          <w:tcPr>
            <w:tcW w:type="dxa" w:w="396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Управление парком, долгом, залогами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Средний (год 1–2)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Коммерция / владелец выручки</w:t>
            </w:r>
          </w:p>
        </w:tc>
        <w:tc>
          <w:tcPr>
            <w:tcW w:type="dxa" w:w="396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Якорные контракты и тарифы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Высокий (год 1)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3294B"/>
        </w:rPr>
        <w:t>8. Риски и их снятие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13294B"/>
          </w:tcPr>
          <w:p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Влияние</w:t>
            </w:r>
          </w:p>
        </w:tc>
        <w:tc>
          <w:tcPr>
            <w:tcW w:type="dxa" w:w="4422"/>
            <w:shd w:val="clear" w:fill="13294B"/>
          </w:tcPr>
          <w:p>
            <w:r>
              <w:rPr>
                <w:b/>
                <w:color w:val="FFFFFF"/>
                <w:sz w:val="19"/>
              </w:rPr>
              <w:t>Как снимаем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Капитал/финансирование на масштаб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Критическое</w:t>
            </w:r>
          </w:p>
        </w:tc>
        <w:tc>
          <w:tcPr>
            <w:tcW w:type="dxa" w:w="442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Лизинг, БРК/агро-финансирование, финансирование под активы, партнёрский парк, поэтапность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Дефицит и текучесть водителей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Высокое</w:t>
            </w:r>
          </w:p>
        </w:tc>
        <w:tc>
          <w:tcPr>
            <w:tcW w:type="dxa" w:w="442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Ранний набор, обучение, конкурентная оплата (75/25), карьерные уровни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Узкое место: мойки и сервис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Высокое</w:t>
            </w:r>
          </w:p>
        </w:tc>
        <w:tc>
          <w:tcPr>
            <w:tcW w:type="dxa" w:w="442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Строить инфраструктуру с опережением парка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Зависимость от нескольких заводов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Среднее</w:t>
            </w:r>
          </w:p>
        </w:tc>
        <w:tc>
          <w:tcPr>
            <w:tcW w:type="dxa" w:w="442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Диверсификация клиентов и грузовых групп, долгосрочные договоры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Конкуренция и демпинг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Среднее</w:t>
            </w:r>
          </w:p>
        </w:tc>
        <w:tc>
          <w:tcPr>
            <w:tcW w:type="dxa" w:w="442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Специализация, сертификация, качество — уход от ценовой войны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Ставки и валюта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Среднее</w:t>
            </w:r>
          </w:p>
        </w:tc>
        <w:tc>
          <w:tcPr>
            <w:tcW w:type="dxa" w:w="442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Фиксация лизинга, тарифы с привязкой, хеджирование топлива</w:t>
            </w:r>
          </w:p>
        </w:tc>
      </w:tr>
      <w:tr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Пищевой/санитарный инцидент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Высокое (репутация)</w:t>
            </w:r>
          </w:p>
        </w:tc>
        <w:tc>
          <w:tcPr>
            <w:tcW w:type="dxa" w:w="4422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Стандарты, контроль мойки/температуры, прослеживаемость, страхование</w:t>
            </w:r>
          </w:p>
        </w:tc>
      </w:tr>
      <w:tr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Реалистичность цели 5 000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4422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Формулировать как «под управлением»; собственное ядро + лизинг + партнёры; ежегодная сверка с грузовой базой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9. Дорожная карта (по горизонтам)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2F6690"/>
                <w:sz w:val="21"/>
              </w:rPr>
              <w:t>Горизонт 1 · Годы 1–2 · «Ядро и захват»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Навести порядок в управлении (роли, ритм, панель показателей, владелец выручки).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Построить первые санитарные мойки и получить пищевую сертификацию.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Заключить 3–5 якорных контрактов (масло, молоко, напитки).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Парк 20 → ~450 единиц (собственные + лизинг); запустить телеметрию и обратную загрузку.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2F6690"/>
                <w:sz w:val="21"/>
              </w:rPr>
              <w:t>Горизонт 2 · Годы 3–4 · «Масштаб»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Парк ~450 → ~2 800; развернуть партнёрскую/управляемую сеть.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Расширить сеть моек и сервиса по ключевым регионам.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Подключить экспортные плечи (масло в Китай через Хоргос/Достык, Каспий).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Покупка 1–2 региональных перевозчиков (консолидация).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3EC"/>
          </w:tcPr>
          <w:p>
            <w:r>
              <w:rPr>
                <w:b/>
                <w:color w:val="2E7D46"/>
                <w:sz w:val="21"/>
              </w:rPr>
              <w:t>Горизонт 3 · Год 5 · «Лидер №1»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Парк ~5 000 под управлением; операционная маржа 15–18%.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№1 в пищевых наливных перевозках РК; выход в регион Каспия/ЦА.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Готовность к следующему циклу: смежные ниши, новые страны, возможно привлечение стратегического капитала.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3294B"/>
        </w:rPr>
        <w:t>10. Как управляем стратегией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Панель стратегии. </w:t>
      </w:r>
      <w:r>
        <w:rPr>
          <w:b w:val="0"/>
          <w:color w:val="2A3746"/>
          <w:sz w:val="22"/>
        </w:rPr>
        <w:t>8–10 показателей: парк, выручка, маржа на цистерну, порожний пробег, якорные контракты, мойки/сертификация, финансирование, водители. Обновление — ежемесячно.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Ритм. </w:t>
      </w:r>
      <w:r>
        <w:rPr>
          <w:b w:val="0"/>
          <w:color w:val="2A3746"/>
          <w:sz w:val="22"/>
        </w:rPr>
        <w:t>Ежеквартальный стратегический разбор (совет), годовая переоценка целей и капитала. Связка с операционной моделью управления.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Связь с мотивацией. </w:t>
      </w:r>
      <w:r>
        <w:rPr>
          <w:b w:val="0"/>
          <w:color w:val="2A3746"/>
          <w:sz w:val="22"/>
        </w:rPr>
        <w:t>Цели по прибыли/марже каскадируются в систему 75/25 — стратегия «доезжает» до каждого рейса.</w:t>
      </w:r>
    </w:p>
    <w:p>
      <w:pPr>
        <w:pStyle w:val="Heading2"/>
      </w:pPr>
      <w:r>
        <w:rPr>
          <w:rFonts w:ascii="Calibri" w:hAnsi="Calibri"/>
          <w:color w:val="6B7A8D"/>
        </w:rPr>
        <w:t>Источники (открытые данные)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Рынок логистики РК ($29,3→36,2 млрд; автоперевозки ~58%, +18,2%) — Mordor Intelligence, ResearchAndMarkets.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Транскаспийский маршрут (4–5 млн т, ×3–4 к 2030) — Caspian News, Railway News, Carnegie.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Растительное масло (пр-во +17,4%, экспорт $944 млн +54%, №2 в Китай) — UkrAgroConsult, APK-Inform, Astana Times.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Молоко (&gt;600 тыс т, удвоение до 1,2 млн т; инвестиции 200 млрд ₸) — DairyNews, Times of Central Asia, primeminister.kz.</w:t>
      </w:r>
    </w:p>
    <w:p>
      <w:pPr>
        <w:pStyle w:val="ListBullet"/>
        <w:spacing w:after="60"/>
      </w:pPr>
      <w:r>
        <w:rPr>
          <w:b w:val="0"/>
          <w:color w:val="6B7A8D"/>
          <w:sz w:val="18"/>
        </w:rPr>
        <w:t>Электронная коммерция и пищепром (инвестиции +57,7%) — PwC Kazakhstan, primeminister.kz.</w:t>
      </w:r>
    </w:p>
    <w:p>
      <w:pPr>
        <w:spacing w:after="120" w:before="12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Стратегия — проект для совета. Абсолютные финансовые значения иллюстративны и подлежат замене на факт (текущая выручка, юнит-экономика цистерны, ставки лизинга). Целевой парк 5 000 — ориентир «под управлением».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