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ТОО «WAYSTAR GROUP»</w:t>
      </w:r>
    </w:p>
    <w:p>
      <w:pPr>
        <w:pStyle w:val="Title"/>
      </w:pPr>
      <w:r>
        <w:rPr>
          <w:rFonts w:ascii="Calibri" w:hAnsi="Calibri"/>
          <w:color w:val="13294B"/>
        </w:rPr>
        <w:t>Система управления компанией</w:t>
      </w:r>
    </w:p>
    <w:p>
      <w:pPr>
        <w:spacing w:after="200" w:before="0"/>
      </w:pPr>
      <w:r>
        <w:rPr>
          <w:b w:val="0"/>
          <w:i w:val="0"/>
          <w:color w:val="6B7A8D"/>
          <w:sz w:val="22"/>
        </w:rPr>
        <w:t>Операционная модель · Роли и права решений · Управленческий ритм · Панель показателей · Регламенты · Выход собственника из операционки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Зачем этот документ. </w:t>
      </w:r>
      <w:r>
        <w:rPr>
          <w:b w:val="0"/>
          <w:i w:val="0"/>
          <w:color w:val="2A3746"/>
          <w:sz w:val="22"/>
        </w:rPr>
        <w:t xml:space="preserve">Сегодня компания во многом держится на собственнике: ключевые решения, связи и контроль замкнуты на одном человеке. Это потолок роста и главный риск. Задача — перевести управление с </w:t>
      </w:r>
      <w:r>
        <w:rPr>
          <w:b/>
          <w:i w:val="0"/>
          <w:color w:val="13294B"/>
          <w:sz w:val="22"/>
        </w:rPr>
        <w:t>ручного режима на систему</w:t>
      </w:r>
      <w:r>
        <w:rPr>
          <w:b w:val="0"/>
          <w:i w:val="0"/>
          <w:color w:val="2A3746"/>
          <w:sz w:val="22"/>
        </w:rPr>
        <w:t>: роли и права решений, регулярный ритм, управление по цифрам, регламенты и преемственность. Собственник выстраивает систему — и после запуска выходит из ежедневного управления, оставаясь на стратегическом контуре.</w:t>
      </w:r>
    </w:p>
    <w:p>
      <w:pPr>
        <w:spacing w:after="120" w:before="0"/>
      </w:pPr>
      <w:r>
        <w:rPr>
          <w:b/>
          <w:i w:val="0"/>
          <w:color w:val="2E7D46"/>
          <w:sz w:val="22"/>
        </w:rPr>
        <w:t xml:space="preserve">Главный принцип. </w:t>
      </w:r>
      <w:r>
        <w:rPr>
          <w:b w:val="0"/>
          <w:i w:val="0"/>
          <w:color w:val="2A3746"/>
          <w:sz w:val="22"/>
        </w:rPr>
        <w:t xml:space="preserve">Компанией управляют не поручения собственника, а </w:t>
      </w:r>
      <w:r>
        <w:rPr>
          <w:b/>
          <w:i w:val="0"/>
          <w:color w:val="13294B"/>
          <w:sz w:val="22"/>
        </w:rPr>
        <w:t>институты: правила решений, календарь, показатели и стандарты</w:t>
      </w:r>
      <w:r>
        <w:rPr>
          <w:b w:val="0"/>
          <w:i w:val="0"/>
          <w:color w:val="2A3746"/>
          <w:sz w:val="22"/>
        </w:rPr>
        <w:t>. Тогда результат не зависит от присутствия одного человека.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Периметр. </w:t>
      </w:r>
      <w:r>
        <w:rPr>
          <w:b w:val="0"/>
          <w:i w:val="0"/>
          <w:color w:val="6B7A8D"/>
          <w:sz w:val="22"/>
        </w:rPr>
        <w:t>13 сотрудников, транспортно-логистическая компания. Документ сочетается с системой мотивации 75/25 (та отвечает «за что платим», эта — «как управляем»).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1. Три контура управления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Управление раскладывается на три контура. У каждого — своя частота, свои решения и свой «хозяин». Собственник постоянно присутствует только в стратегическом; операционный и управленческий работают без него.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19"/>
              </w:rPr>
              <w:t>Контур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Кто ведёт</w:t>
            </w:r>
          </w:p>
        </w:tc>
        <w:tc>
          <w:tcPr>
            <w:tcW w:type="dxa" w:w="1474"/>
            <w:shd w:val="clear" w:fill="13294B"/>
          </w:tcPr>
          <w:p>
            <w:r>
              <w:rPr>
                <w:b/>
                <w:color w:val="FFFFFF"/>
                <w:sz w:val="19"/>
              </w:rPr>
              <w:t>Частота</w:t>
            </w:r>
          </w:p>
        </w:tc>
        <w:tc>
          <w:tcPr>
            <w:tcW w:type="dxa" w:w="2835"/>
            <w:shd w:val="clear" w:fill="13294B"/>
          </w:tcPr>
          <w:p>
            <w:r>
              <w:rPr>
                <w:b/>
                <w:color w:val="FFFFFF"/>
                <w:sz w:val="19"/>
              </w:rPr>
              <w:t>О чём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Решения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Стратегический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Президент / совет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Квартал, год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Куда идём, капитал, крупные сделки, назначения топов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Стратегия, бюджет, инвестиции</w:t>
            </w:r>
          </w:p>
        </w:tc>
      </w:tr>
      <w:tr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Управленческий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Генеральный директор + топы</w:t>
            </w:r>
          </w:p>
        </w:tc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Месяц, неделя</w:t>
            </w:r>
          </w:p>
        </w:tc>
        <w:tc>
          <w:tcPr>
            <w:tcW w:type="dxa" w:w="2835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План/факт, ресурсы, узкие места, прибыль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Приоритеты, распределение ресурсов</w:t>
            </w:r>
          </w:p>
        </w:tc>
      </w:tr>
      <w:tr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Операционный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Операционный директор / логистика</w:t>
            </w:r>
          </w:p>
        </w:tc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День</w:t>
            </w:r>
          </w:p>
        </w:tc>
        <w:tc>
          <w:tcPr>
            <w:tcW w:type="dxa" w:w="283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Рейсы, сроки, срывы, деньги в пути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Диспетчеризация, оперативные замены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Задача перехода: </w:t>
      </w:r>
      <w:r>
        <w:rPr>
          <w:b w:val="0"/>
          <w:i w:val="0"/>
          <w:color w:val="2A3746"/>
          <w:sz w:val="22"/>
        </w:rPr>
        <w:t>поднять собственника из операционного и управленческого контуров в стратегический. Для этого нужны следующие разделы — роли, ритм, показатели, регламенты.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2. Роли и права решений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Первый и главный шаг — развести три «первые» роли (Президент, Генеральный, Операционный директор) и закрепить, кто что решает. Пока это не сделано, решения буксуют и замыкаются на собственнике.</w:t>
      </w:r>
    </w:p>
    <w:p>
      <w:pPr>
        <w:pStyle w:val="Heading2"/>
      </w:pPr>
      <w:r>
        <w:rPr>
          <w:rFonts w:ascii="Calibri" w:hAnsi="Calibri"/>
          <w:color w:val="2F6690"/>
        </w:rPr>
        <w:t>2.1. Разграничение ролей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195"/>
            <w:shd w:val="clear" w:fill="13294B"/>
          </w:tcPr>
          <w:p>
            <w:r>
              <w:rPr>
                <w:b/>
                <w:color w:val="FFFFFF"/>
                <w:sz w:val="19"/>
              </w:rPr>
              <w:t>За что отвечает</w:t>
            </w:r>
          </w:p>
        </w:tc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19"/>
              </w:rPr>
              <w:t>Во что не вмешивается</w:t>
            </w:r>
          </w:p>
        </w:tc>
      </w:tr>
      <w:tr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Президент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Стратегия, капитал, крупные сделки, назначение топов, целевая прибыль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Ежедневная операционка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Генеральный директор</w:t>
            </w:r>
          </w:p>
        </w:tc>
        <w:tc>
          <w:tcPr>
            <w:tcW w:type="dxa" w:w="4195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Единый результат (прибыль и убытки), план компании; все функции подчинены ему</w:t>
            </w:r>
          </w:p>
        </w:tc>
        <w:tc>
          <w:tcPr>
            <w:tcW w:type="dxa" w:w="2381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8"/>
              </w:rPr>
              <w:t>—</w:t>
            </w:r>
          </w:p>
        </w:tc>
      </w:tr>
      <w:tr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Операционный директор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Перевозки: сроки, себестоимость, загрузка, безопасность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Финансы, персонал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Финансовый директор</w:t>
            </w:r>
          </w:p>
        </w:tc>
        <w:tc>
          <w:tcPr>
            <w:tcW w:type="dxa" w:w="4195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Деньги, отчётность, дебиторка, касса, бюджет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Диспетчеризация рейсов</w:t>
            </w:r>
          </w:p>
        </w:tc>
      </w:tr>
      <w:tr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Владелец выручки (назначить)</w:t>
            </w:r>
          </w:p>
        </w:tc>
        <w:tc>
          <w:tcPr>
            <w:tcW w:type="dxa" w:w="419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План продаж/выручки, клиенты, тарифы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Учёт и расчёты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Принцип «один результат — один хозяин»: </w:t>
      </w:r>
      <w:r>
        <w:rPr>
          <w:b w:val="0"/>
          <w:i w:val="0"/>
          <w:color w:val="2A3746"/>
          <w:sz w:val="22"/>
        </w:rPr>
        <w:t xml:space="preserve">за прибыль и убытки компании отвечает Генеральный директор персонально. Отдельно закрепите </w:t>
      </w:r>
      <w:r>
        <w:rPr>
          <w:b/>
          <w:i w:val="0"/>
          <w:color w:val="13294B"/>
          <w:sz w:val="22"/>
        </w:rPr>
        <w:t>владельца выручки</w:t>
      </w:r>
      <w:r>
        <w:rPr>
          <w:b w:val="0"/>
          <w:i w:val="0"/>
          <w:color w:val="2A3746"/>
          <w:sz w:val="22"/>
        </w:rPr>
        <w:t xml:space="preserve"> — сейчас за рост продаж лично не отвечает никто.</w:t>
      </w:r>
    </w:p>
    <w:p>
      <w:pPr>
        <w:pStyle w:val="Heading2"/>
      </w:pPr>
      <w:r>
        <w:rPr>
          <w:rFonts w:ascii="Calibri" w:hAnsi="Calibri"/>
          <w:color w:val="2F6690"/>
        </w:rPr>
        <w:t>2.2. Матрица прав решений</w:t>
      </w:r>
    </w:p>
    <w:p>
      <w:pPr>
        <w:spacing w:after="120" w:before="0"/>
      </w:pPr>
      <w:r>
        <w:rPr>
          <w:b/>
          <w:i w:val="0"/>
          <w:color w:val="C4772F"/>
          <w:sz w:val="19"/>
        </w:rPr>
        <w:t xml:space="preserve">Условные обозначения: </w:t>
      </w:r>
      <w:r>
        <w:rPr>
          <w:b w:val="0"/>
          <w:i w:val="0"/>
          <w:color w:val="2A3746"/>
          <w:sz w:val="19"/>
        </w:rPr>
        <w:t>У — утверждает (финальное решение); П — подготавливает и исполняет; С — согласует; И — информируется.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288"/>
            <w:shd w:val="clear" w:fill="13294B"/>
          </w:tcPr>
          <w:p>
            <w:r>
              <w:rPr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1304"/>
            <w:shd w:val="clear" w:fill="13294B"/>
          </w:tcPr>
          <w:p>
            <w:r>
              <w:rPr>
                <w:b/>
                <w:color w:val="FFFFFF"/>
                <w:sz w:val="19"/>
              </w:rPr>
              <w:t>Президент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Ген. дир.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Фин. дир.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Опер. дир.</w:t>
            </w:r>
          </w:p>
        </w:tc>
        <w:tc>
          <w:tcPr>
            <w:tcW w:type="dxa" w:w="1134"/>
            <w:shd w:val="clear" w:fill="13294B"/>
          </w:tcPr>
          <w:p>
            <w:r>
              <w:rPr>
                <w:b/>
                <w:color w:val="FFFFFF"/>
                <w:sz w:val="19"/>
              </w:rPr>
              <w:t>Функция</w:t>
            </w:r>
          </w:p>
        </w:tc>
      </w:tr>
      <w:tr>
        <w:tc>
          <w:tcPr>
            <w:tcW w:type="dxa" w:w="328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Стратегия и годовой бюджет</w:t>
            </w:r>
          </w:p>
        </w:tc>
        <w:tc>
          <w:tcPr>
            <w:tcW w:type="dxa" w:w="130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</w:tr>
      <w:tr>
        <w:tc>
          <w:tcPr>
            <w:tcW w:type="dxa" w:w="328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Крупные инвестиции / покупка транспорта</w:t>
            </w:r>
          </w:p>
        </w:tc>
        <w:tc>
          <w:tcPr>
            <w:tcW w:type="dxa" w:w="130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</w:tr>
      <w:tr>
        <w:tc>
          <w:tcPr>
            <w:tcW w:type="dxa" w:w="328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Привлечение финансирования, кредиты</w:t>
            </w:r>
          </w:p>
        </w:tc>
        <w:tc>
          <w:tcPr>
            <w:tcW w:type="dxa" w:w="130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</w:tr>
      <w:tr>
        <w:tc>
          <w:tcPr>
            <w:tcW w:type="dxa" w:w="328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Тарифы и крупные скидки клиентам</w:t>
            </w:r>
          </w:p>
        </w:tc>
        <w:tc>
          <w:tcPr>
            <w:tcW w:type="dxa" w:w="130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</w:tr>
      <w:tr>
        <w:tc>
          <w:tcPr>
            <w:tcW w:type="dxa" w:w="328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Крупные договоры (клиенты, перевозчики)</w:t>
            </w:r>
          </w:p>
        </w:tc>
        <w:tc>
          <w:tcPr>
            <w:tcW w:type="dxa" w:w="130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</w:tr>
      <w:tr>
        <w:tc>
          <w:tcPr>
            <w:tcW w:type="dxa" w:w="328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Наём/увольнение топ-менеджеров</w:t>
            </w:r>
          </w:p>
        </w:tc>
        <w:tc>
          <w:tcPr>
            <w:tcW w:type="dxa" w:w="130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</w:tr>
      <w:tr>
        <w:tc>
          <w:tcPr>
            <w:tcW w:type="dxa" w:w="328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Наём/увольнение линейного персонала</w:t>
            </w:r>
          </w:p>
        </w:tc>
        <w:tc>
          <w:tcPr>
            <w:tcW w:type="dxa" w:w="130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</w:tr>
      <w:tr>
        <w:tc>
          <w:tcPr>
            <w:tcW w:type="dxa" w:w="328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Показатели и премии (Комитет)</w:t>
            </w:r>
          </w:p>
        </w:tc>
        <w:tc>
          <w:tcPr>
            <w:tcW w:type="dxa" w:w="130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</w:tr>
      <w:tr>
        <w:tc>
          <w:tcPr>
            <w:tcW w:type="dxa" w:w="328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Диспетчеризация рейсов</w:t>
            </w:r>
          </w:p>
        </w:tc>
        <w:tc>
          <w:tcPr>
            <w:tcW w:type="dxa" w:w="130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</w:tr>
      <w:tr>
        <w:tc>
          <w:tcPr>
            <w:tcW w:type="dxa" w:w="328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Списание убытков, претензии, страховка</w:t>
            </w:r>
          </w:p>
        </w:tc>
        <w:tc>
          <w:tcPr>
            <w:tcW w:type="dxa" w:w="130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</w:tr>
      <w:tr>
        <w:tc>
          <w:tcPr>
            <w:tcW w:type="dxa" w:w="328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Оргструктура и оклады</w:t>
            </w:r>
          </w:p>
        </w:tc>
        <w:tc>
          <w:tcPr>
            <w:tcW w:type="dxa" w:w="130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  <w:tc>
          <w:tcPr>
            <w:tcW w:type="dxa" w:w="113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</w:tr>
      <w:tr>
        <w:tc>
          <w:tcPr>
            <w:tcW w:type="dxa" w:w="328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Новые направления и рынки</w:t>
            </w:r>
          </w:p>
        </w:tc>
        <w:tc>
          <w:tcPr>
            <w:tcW w:type="dxa" w:w="130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У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П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С</w:t>
            </w:r>
          </w:p>
        </w:tc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b w:val="0"/>
                <w:color w:val="2A3746"/>
                <w:sz w:val="17"/>
              </w:rPr>
              <w:t>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2.3. Лимиты полномочий (пример — настроить под компанию)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13294B"/>
          </w:tcPr>
          <w:p>
            <w:r>
              <w:rPr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19"/>
              </w:rPr>
              <w:t>Лимит решения по расходам</w:t>
            </w:r>
          </w:p>
        </w:tc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решает самостоятельно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Менеджер по логистике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до 100 000 ₸ / рейс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Расходы по рейсу в пределах маржи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Начальник отдела логистики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до 500 000 ₸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Маршруты, подрядчики, замены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Операционный / финансовый директор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до 2 000 000 ₸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Операционные закупки, договоры в политике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Генеральный директор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до 10 000 000 ₸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Договоры, наём, скидки в рамках политики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Президент / совет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свыше 10 000 000 ₸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Инвестиции, финансирование, стратегия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6B7A8D"/>
          <w:sz w:val="18"/>
        </w:rPr>
        <w:t>Лимиты — ключевой инструмент выхода собственника из операционки: всё, что ниже порога, решается без него.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3. Организационная 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color w:val="13294B"/>
                <w:sz w:val="21"/>
              </w:rPr>
              <w:t>Схема подчинённости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Президент / совет — стратегия и капитал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└ Генеральный директор — единый результат (прибыль и убытки)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     ├ Операционный директор → Начальник отдела логистики → 4 менеджера по логистике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     ├ Финансовый директор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     ├ Владелец выручки / коммерция (назначить)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     ├ Отдел персонала (+ менеджер по персоналу)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     ├ Юрист</w:t>
            </w:r>
          </w:p>
          <w:p>
            <w:pPr>
              <w:spacing w:after="20"/>
            </w:pPr>
            <w:r>
              <w:rPr>
                <w:color w:val="2A3746"/>
                <w:sz w:val="19"/>
              </w:rPr>
              <w:t>•       └ Менеджер по закрытию (расчёты и оплата)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Норма управляемости. </w:t>
      </w:r>
      <w:r>
        <w:rPr>
          <w:b w:val="0"/>
          <w:color w:val="2A3746"/>
          <w:sz w:val="22"/>
        </w:rPr>
        <w:t>5–7 прямых подчинённых у Генерального — норма; начальник логистики ведёт 4 менеджеров — тоже норма.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Явный пробел. </w:t>
      </w:r>
      <w:r>
        <w:rPr>
          <w:b w:val="0"/>
          <w:color w:val="2A3746"/>
          <w:sz w:val="22"/>
        </w:rPr>
        <w:t>нет отдельного владельца выручки/продаж — за рост никто не отвечает лично. Назначить из действующих или выделить роль.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Дублирование верхнего уровня. </w:t>
      </w:r>
      <w:r>
        <w:rPr>
          <w:b w:val="0"/>
          <w:color w:val="2A3746"/>
          <w:sz w:val="22"/>
        </w:rPr>
        <w:t>Президент/Генеральный/Операционный — развести по разделу 2, иначе структура «плоская сверху» и всё стекается к собственнику.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4. Управленческий ритм (календарь)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Система работает, когда встречи идут по расписанию, с короткой повесткой, владельцем и результатом. Ритм — это «двигатель», который заставляет показатели и решения жить без ручных напоминаний.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19"/>
              </w:rPr>
              <w:t>Событие</w:t>
            </w:r>
          </w:p>
        </w:tc>
        <w:tc>
          <w:tcPr>
            <w:tcW w:type="dxa" w:w="1247"/>
            <w:shd w:val="clear" w:fill="13294B"/>
          </w:tcPr>
          <w:p>
            <w:r>
              <w:rPr>
                <w:b/>
                <w:color w:val="FFFFFF"/>
                <w:sz w:val="19"/>
              </w:rPr>
              <w:t>Частота</w:t>
            </w:r>
          </w:p>
        </w:tc>
        <w:tc>
          <w:tcPr>
            <w:tcW w:type="dxa" w:w="1928"/>
            <w:shd w:val="clear" w:fill="13294B"/>
          </w:tcPr>
          <w:p>
            <w:r>
              <w:rPr>
                <w:b/>
                <w:color w:val="FFFFFF"/>
                <w:sz w:val="19"/>
              </w:rPr>
              <w:t>Участники</w:t>
            </w:r>
          </w:p>
        </w:tc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19"/>
              </w:rPr>
              <w:t>Повестка (макс. время)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Оперативка по рейсам</w:t>
            </w:r>
          </w:p>
        </w:tc>
        <w:tc>
          <w:tcPr>
            <w:tcW w:type="dxa" w:w="124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Ежедневно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Опер. директор, логисты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Рейсы дня, срывы, деньги в пути (15 мин)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Список действий на день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Управленческая команда</w:t>
            </w:r>
          </w:p>
        </w:tc>
        <w:tc>
          <w:tcPr>
            <w:tcW w:type="dxa" w:w="124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Еженедельно</w:t>
            </w:r>
          </w:p>
        </w:tc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Ген. дир. + топы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План/факт недели, узкие места, дебиторка, безопасность (60 мин)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Приоритеты недели, ответственные</w:t>
            </w:r>
          </w:p>
        </w:tc>
      </w:tr>
      <w:tr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Разбор показателей и премии</w:t>
            </w:r>
          </w:p>
        </w:tc>
        <w:tc>
          <w:tcPr>
            <w:tcW w:type="dxa" w:w="124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Ежемесячно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Ген. дир. + руководители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Показатели месяца, прибыль/убытки, начисление премии (по матрице)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Начисленная премия, корректировки</w:t>
            </w:r>
          </w:p>
        </w:tc>
      </w:tr>
      <w:tr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Комитет по показателям</w:t>
            </w:r>
          </w:p>
        </w:tc>
        <w:tc>
          <w:tcPr>
            <w:tcW w:type="dxa" w:w="124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Ежеквартально</w:t>
            </w:r>
          </w:p>
        </w:tc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Президент/Ген., Фин., Персонал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Калибровка целей, пересмотр порогов и K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Обновлённые цели</w:t>
            </w:r>
          </w:p>
        </w:tc>
      </w:tr>
      <w:tr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Стратегическая сессия / бюджет</w:t>
            </w:r>
          </w:p>
        </w:tc>
        <w:tc>
          <w:tcPr>
            <w:tcW w:type="dxa" w:w="124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Год (+ квартал)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Президент + топы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Стратегия, бюджет, оргструктура, вилки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года, бюджет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Правило: </w:t>
      </w:r>
      <w:r>
        <w:rPr>
          <w:b w:val="0"/>
          <w:i w:val="0"/>
          <w:color w:val="2A3746"/>
          <w:sz w:val="22"/>
        </w:rPr>
        <w:t>у каждой встречи — постоянная повестка, ведущий и протокол из 3 колонок (решение — ответственный — срок). Собственник по умолчанию — только на ежемесячной и квартальной/годовой.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5. Панель показателей (единый дашборд)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Управляют тем, что видят на цифрах. Одна панель, обновляется еженедельно (часть — ежедневно). У каждого показателя — владелец. Это же связывает управление с системой мотивации 75/25.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19"/>
              </w:rPr>
              <w:t>Владелец</w:t>
            </w:r>
          </w:p>
        </w:tc>
        <w:tc>
          <w:tcPr>
            <w:tcW w:type="dxa" w:w="1361"/>
            <w:shd w:val="clear" w:fill="13294B"/>
          </w:tcPr>
          <w:p>
            <w:r>
              <w:rPr>
                <w:b/>
                <w:color w:val="FFFFFF"/>
                <w:sz w:val="19"/>
              </w:rPr>
              <w:t>Частота</w:t>
            </w:r>
          </w:p>
        </w:tc>
        <w:tc>
          <w:tcPr>
            <w:tcW w:type="dxa" w:w="1928"/>
            <w:shd w:val="clear" w:fill="13294B"/>
          </w:tcPr>
          <w:p>
            <w:r>
              <w:rPr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9"/>
              </w:rPr>
              <w:t>Сигнал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Выручка к плану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Владелец выручки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Отчёт о продажах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&lt; плана — разбор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маржа / маржа на рейс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Опер. директор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Неделя</w:t>
            </w:r>
          </w:p>
        </w:tc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Расчёт себестоимости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&lt; нормы — тариф/затраты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Соблюдение сроков доставки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Нач. логистики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День/неделя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&lt; 95%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Загрузка транспорта / порожний пробег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Нач. логистики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Неделя</w:t>
            </w:r>
          </w:p>
        </w:tc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Учёт перевозок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порожний &gt; нормы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Дебиторка и собираемость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Менеджер по закрытию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Реестр расчётов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просрочка растёт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Денежные средства (касса)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Фин. директор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День/неделя</w:t>
            </w:r>
          </w:p>
        </w:tc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Движение средств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запас &lt; N мес.</w:t>
            </w:r>
          </w:p>
        </w:tc>
      </w:tr>
      <w:tr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Происшествия / безопасность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Опер. директор</w:t>
            </w:r>
          </w:p>
        </w:tc>
        <w:tc>
          <w:tcPr>
            <w:tcW w:type="dxa" w:w="13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</w:t>
            </w:r>
          </w:p>
        </w:tc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Служба безопасности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любой инцидент</w:t>
            </w:r>
          </w:p>
        </w:tc>
      </w:tr>
      <w:tr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Прибыль/убытки месяца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Фин. директор</w:t>
            </w:r>
          </w:p>
        </w:tc>
        <w:tc>
          <w:tcPr>
            <w:tcW w:type="dxa" w:w="13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Месяц</w:t>
            </w:r>
          </w:p>
        </w:tc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Управл. отчётность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&lt; плана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Формат: </w:t>
      </w:r>
      <w:r>
        <w:rPr>
          <w:b w:val="0"/>
          <w:i w:val="0"/>
          <w:color w:val="2A3746"/>
          <w:sz w:val="22"/>
        </w:rPr>
        <w:t>один экран — «светофор» (зелёный/жёлтый/красный) по каждому показателю относительно плана; красное автоматически попадает в повестку недели.</w:t>
      </w:r>
    </w:p>
    <w:p>
      <w:pPr>
        <w:pStyle w:val="Heading1"/>
      </w:pPr>
      <w:r>
        <w:rPr>
          <w:rFonts w:ascii="Calibri" w:hAnsi="Calibri"/>
          <w:color w:val="13294B"/>
        </w:rPr>
        <w:t>6. Каскад целей: год → неделя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Цели спускаются сверху вниз и превращаются в недельные обязательства. Каждый уровень отвечает за свой горизонт.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13294B"/>
          </w:tcPr>
          <w:p>
            <w:r>
              <w:rPr>
                <w:b/>
                <w:color w:val="FFFFFF"/>
                <w:sz w:val="19"/>
              </w:rPr>
              <w:t>Горизонт</w:t>
            </w:r>
          </w:p>
        </w:tc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19"/>
              </w:rPr>
              <w:t>Кто ставит</w:t>
            </w:r>
          </w:p>
        </w:tc>
        <w:tc>
          <w:tcPr>
            <w:tcW w:type="dxa" w:w="4535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фиксируется</w:t>
            </w:r>
          </w:p>
        </w:tc>
      </w:tr>
      <w:tr>
        <w:tc>
          <w:tcPr>
            <w:tcW w:type="dxa" w:w="1474"/>
            <w:shd w:val="clear" w:fill="F1F5F9"/>
          </w:tcPr>
          <w:p>
            <w:pPr>
              <w:jc w:val="center"/>
            </w:pPr>
            <w:r>
              <w:rPr>
                <w:b w:val="0"/>
                <w:color w:val="2A3746"/>
                <w:sz w:val="18"/>
              </w:rPr>
              <w:t>Год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Президент + топы</w:t>
            </w:r>
          </w:p>
        </w:tc>
        <w:tc>
          <w:tcPr>
            <w:tcW w:type="dxa" w:w="453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Прибыль, выручка, ключевые проекты, бюджет</w:t>
            </w:r>
          </w:p>
        </w:tc>
      </w:tr>
      <w:tr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Квартал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Генеральный + руководители</w:t>
            </w:r>
          </w:p>
        </w:tc>
        <w:tc>
          <w:tcPr>
            <w:tcW w:type="dxa" w:w="4535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Цели направлений, пороги показателей</w:t>
            </w:r>
          </w:p>
        </w:tc>
      </w:tr>
      <w:tr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Месяц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Руководители + сотрудники</w:t>
            </w:r>
          </w:p>
        </w:tc>
        <w:tc>
          <w:tcPr>
            <w:tcW w:type="dxa" w:w="4535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Планы по марже/рейсам/дебиторке, премия</w:t>
            </w:r>
          </w:p>
        </w:tc>
      </w:tr>
      <w:tr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Неделя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Команда</w:t>
            </w:r>
          </w:p>
        </w:tc>
        <w:tc>
          <w:tcPr>
            <w:tcW w:type="dxa" w:w="4535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Конкретные обязательства и ответственные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7. Стандарты и регламенты (чтобы процессы не жили «в голове»)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Зависимость от людей снижается, когда ключевые процессы описаны. Достаточно короткие регламенты (1–2 страницы) с ответственным и контрольными точками. Минимальный набор для перевозчика: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Приём и оформление заявки клиента (кто, сроки, что проверяем).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Диспетчеризация рейса и выбор подрядчика/транспорта.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Расчёт себестоимости и маржи рейса (единая методика — утверждает финансовый директор).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Работа с претензией и сохранностью груза (сроки, эскалация, страховка).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Выставление счёта и сбор оплаты (сроки, работа с просрочкой).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Наём и адаптация сотрудника (в связке с системой мотивации).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Правила эскалации: что решается на месте, что выносится наверх (по лимитам раздела 2.3).</w:t>
      </w:r>
    </w:p>
    <w:p>
      <w:pPr>
        <w:spacing w:after="120" w:before="0"/>
      </w:pPr>
      <w:r>
        <w:rPr>
          <w:b w:val="0"/>
          <w:i w:val="0"/>
          <w:color w:val="6B7A8D"/>
          <w:sz w:val="18"/>
        </w:rPr>
        <w:t>Владельцы регламентов — руководители направлений; хранение — единая папка; пересмотр — раз в год.</w:t>
      </w:r>
    </w:p>
    <w:p>
      <w:pPr>
        <w:pStyle w:val="Heading1"/>
      </w:pPr>
      <w:r>
        <w:rPr>
          <w:rFonts w:ascii="Calibri" w:hAnsi="Calibri"/>
          <w:color w:val="13294B"/>
        </w:rPr>
        <w:t>8. Люди и преемственность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Встречи один на один. </w:t>
      </w:r>
      <w:r>
        <w:rPr>
          <w:b w:val="0"/>
          <w:color w:val="2A3746"/>
          <w:sz w:val="22"/>
        </w:rPr>
        <w:t>Руководитель ↔ сотрудник раз в 1–2 недели: цифры, барьеры, настрой. Это канал раннего решения проблем.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Грейды и рост. </w:t>
      </w:r>
      <w:r>
        <w:rPr>
          <w:b w:val="0"/>
          <w:color w:val="2A3746"/>
          <w:sz w:val="22"/>
        </w:rPr>
        <w:t>Для логистов ввести уровни (младший → старший → ведущий) с понятным ростом дохода — иначе сильные уходят.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Снижение зависимости от ключевых людей. </w:t>
      </w:r>
      <w:r>
        <w:rPr>
          <w:b w:val="0"/>
          <w:color w:val="2A3746"/>
          <w:sz w:val="22"/>
        </w:rPr>
        <w:t>У каждой критичной роли (собственник, финансовый директор, старший логист) — дублёр и описанные процессы; знания не должны храниться в одной голове.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Карта рисков по людям. </w:t>
      </w:r>
      <w:r>
        <w:rPr>
          <w:b w:val="0"/>
          <w:color w:val="2A3746"/>
          <w:sz w:val="22"/>
        </w:rPr>
        <w:t>Отметить, чей уход останавливает работу, и закрыть эти точки (обучение, документирование, резерв).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9. Выход собственника из операционного управления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Ключевая цель. Собственник строит систему — и планово выходит из ежедневного управления. Три фазы по 30 дней: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3294B"/>
          </w:tcPr>
          <w:p>
            <w:r>
              <w:rPr>
                <w:b/>
                <w:color w:val="FFFFFF"/>
                <w:sz w:val="19"/>
              </w:rPr>
              <w:t>Фаза</w:t>
            </w:r>
          </w:p>
        </w:tc>
        <w:tc>
          <w:tcPr>
            <w:tcW w:type="dxa" w:w="4876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делает собственник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Что остаётся у собственника</w:t>
            </w:r>
          </w:p>
        </w:tc>
      </w:tr>
      <w:tr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0–30. Запуск</w:t>
            </w:r>
          </w:p>
        </w:tc>
        <w:tc>
          <w:tcPr>
            <w:tcW w:type="dxa" w:w="4876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Закрепляет роли и права решений (разд. 2), запускает ритм (разд. 4) и панель (разд. 5), официально делегирует Генеральному директору ответственность за прибыль/убытки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Ежедневная и еженедельная — присутствует и обучает</w:t>
            </w:r>
          </w:p>
        </w:tc>
      </w:tr>
      <w:tr>
        <w:tc>
          <w:tcPr>
            <w:tcW w:type="dxa" w:w="19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Дни 31–60. Передача</w:t>
            </w:r>
          </w:p>
        </w:tc>
        <w:tc>
          <w:tcPr>
            <w:tcW w:type="dxa" w:w="4876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Переводит решения ниже лимитов на команду; перестаёт быть «точкой согласования» по операционке; работает через Генерального директора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Еженедельная (наблюдает), ежемесячная (ведёт)</w:t>
            </w:r>
          </w:p>
        </w:tc>
      </w:tr>
      <w:tr>
        <w:tc>
          <w:tcPr>
            <w:tcW w:type="dxa" w:w="19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61–90. Система работает</w:t>
            </w:r>
          </w:p>
        </w:tc>
        <w:tc>
          <w:tcPr>
            <w:tcW w:type="dxa" w:w="4876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Выходит из ежедневного и еженедельного контуров; управление держится на регламентах, показателях и команде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Ежемесячная и квартальная/годовая — стратегия и капитал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2E7D46"/>
          <w:sz w:val="22"/>
        </w:rPr>
        <w:t xml:space="preserve">Признак успеха. </w:t>
      </w:r>
      <w:r>
        <w:rPr>
          <w:b w:val="0"/>
          <w:i w:val="0"/>
          <w:color w:val="2A3746"/>
          <w:sz w:val="22"/>
        </w:rPr>
        <w:t>неделя без собственника не меняет качество работы: рейсы идут, решения принимаются в рамках лимитов, показатели на панели, премия считается по матрице.</w:t>
      </w:r>
    </w:p>
    <w:p>
      <w:pPr>
        <w:pStyle w:val="Heading1"/>
      </w:pPr>
      <w:r>
        <w:rPr>
          <w:rFonts w:ascii="Calibri" w:hAnsi="Calibri"/>
          <w:color w:val="13294B"/>
        </w:rPr>
        <w:t>10. Дорожная карта внедрения (90 дней)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13294B"/>
          </w:tcPr>
          <w:p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5329"/>
            <w:shd w:val="clear" w:fill="13294B"/>
          </w:tcPr>
          <w:p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19"/>
              </w:rPr>
              <w:t>Ответственный</w:t>
            </w:r>
          </w:p>
        </w:tc>
      </w:tr>
      <w:tr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 1–2</w:t>
            </w:r>
          </w:p>
        </w:tc>
        <w:tc>
          <w:tcPr>
            <w:tcW w:type="dxa" w:w="532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Развести роли Президент/Генеральный/Операционный; утвердить матрицу прав и лимиты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Президент</w:t>
            </w:r>
          </w:p>
        </w:tc>
      </w:tr>
      <w:tr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Неделя 2–3</w:t>
            </w:r>
          </w:p>
        </w:tc>
        <w:tc>
          <w:tcPr>
            <w:tcW w:type="dxa" w:w="532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Назначить владельца выручки; закрепить оргструктуру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Президент / Ген. дир.</w:t>
            </w:r>
          </w:p>
        </w:tc>
      </w:tr>
      <w:tr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 2–4</w:t>
            </w:r>
          </w:p>
        </w:tc>
        <w:tc>
          <w:tcPr>
            <w:tcW w:type="dxa" w:w="532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Запустить ритм (ежедневная, еженедельная, ежемесячная) с повестками и протоколами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Ген. директор</w:t>
            </w:r>
          </w:p>
        </w:tc>
      </w:tr>
      <w:tr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Неделя 3–5</w:t>
            </w:r>
          </w:p>
        </w:tc>
        <w:tc>
          <w:tcPr>
            <w:tcW w:type="dxa" w:w="532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Собрать панель показателей, назначить владельцев, «светофор»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Фин. директор</w:t>
            </w:r>
          </w:p>
        </w:tc>
      </w:tr>
      <w:tr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 4–8</w:t>
            </w:r>
          </w:p>
        </w:tc>
        <w:tc>
          <w:tcPr>
            <w:tcW w:type="dxa" w:w="532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Описать 5–7 ключевых регламентов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Руководители направлений</w:t>
            </w:r>
          </w:p>
        </w:tc>
      </w:tr>
      <w:tr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Неделя 6–8</w:t>
            </w:r>
          </w:p>
        </w:tc>
        <w:tc>
          <w:tcPr>
            <w:tcW w:type="dxa" w:w="532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Ввести встречи один на один и грейды логистов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Отдел персонала</w:t>
            </w:r>
          </w:p>
        </w:tc>
      </w:tr>
      <w:tr>
        <w:tc>
          <w:tcPr>
            <w:tcW w:type="dxa" w:w="147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Неделя 8–12</w:t>
            </w:r>
          </w:p>
        </w:tc>
        <w:tc>
          <w:tcPr>
            <w:tcW w:type="dxa" w:w="5329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Передать решения по лимитам команде; собственник выходит из ежедневного контура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Президент / Ген. дир.</w:t>
            </w:r>
          </w:p>
        </w:tc>
      </w:tr>
      <w:tr>
        <w:tc>
          <w:tcPr>
            <w:tcW w:type="dxa" w:w="147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Постоянно</w:t>
            </w:r>
          </w:p>
        </w:tc>
        <w:tc>
          <w:tcPr>
            <w:tcW w:type="dxa" w:w="5329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Ежемесячный разбор показателей и премии; ежеквартальная калибровка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Комитет по показателям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Итог. </w:t>
      </w:r>
      <w:r>
        <w:rPr>
          <w:b w:val="0"/>
          <w:i w:val="0"/>
          <w:color w:val="2A3746"/>
          <w:sz w:val="22"/>
        </w:rPr>
        <w:t>через ~90 дней компания управляется системой: роли и права ясны, ритм идёт по календарю, решения принимаются по лимитам, работа видна на панели, а вознаграждение привязано к результату (модель 75/25). Собственник управляет стратегией, а не текучкой.</w:t>
      </w:r>
    </w:p>
    <w:p>
      <w:pPr>
        <w:spacing w:after="120" w:before="120"/>
      </w:pPr>
      <w:r>
        <w:rPr>
          <w:b/>
          <w:i w:val="0"/>
          <w:color w:val="C4772F"/>
          <w:sz w:val="18"/>
        </w:rPr>
        <w:t xml:space="preserve">Примечание. </w:t>
      </w:r>
      <w:r>
        <w:rPr>
          <w:b w:val="0"/>
          <w:i w:val="0"/>
          <w:color w:val="6B7A8D"/>
          <w:sz w:val="18"/>
        </w:rPr>
        <w:t>Лимиты полномочий, состав встреч и пороги показателей — настраиваются под компанию перед утверждением. Документ дополняет систему мотивации 75/25 («Положение о премировании и показатели»).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