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6690"/>
          <w:sz w:val="26"/>
        </w:rPr>
        <w:t>ТОО «WAYSTAR GROUP»</w:t>
      </w:r>
    </w:p>
    <w:p>
      <w:pPr>
        <w:pStyle w:val="Title"/>
      </w:pPr>
      <w:r>
        <w:rPr>
          <w:rFonts w:ascii="Calibri" w:hAnsi="Calibri"/>
          <w:color w:val="13294B"/>
        </w:rPr>
        <w:t>Положение о премировании и показатели эффективности</w:t>
      </w:r>
    </w:p>
    <w:p>
      <w:pPr>
        <w:spacing w:after="80" w:before="0"/>
      </w:pPr>
      <w:r>
        <w:rPr>
          <w:b w:val="0"/>
          <w:i w:val="0"/>
          <w:color w:val="6B7A8D"/>
          <w:sz w:val="22"/>
        </w:rPr>
        <w:t>Приложение к приказу о введении оплаты «75% постоянная + 25% переменная» (с 01.01.2026)</w:t>
      </w:r>
    </w:p>
    <w:p>
      <w:pPr>
        <w:spacing w:after="200" w:before="0"/>
      </w:pPr>
      <w:r>
        <w:rPr>
          <w:b w:val="0"/>
          <w:i w:val="0"/>
          <w:color w:val="6B7A8D"/>
          <w:sz w:val="22"/>
        </w:rPr>
        <w:t>Оценка ФОТ · Методология 75/25 · Привязка к прибыли · Карты показателей · Порядок премирования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Назначение. </w:t>
      </w:r>
      <w:r>
        <w:rPr>
          <w:b w:val="0"/>
          <w:i w:val="0"/>
          <w:color w:val="2A3746"/>
          <w:sz w:val="22"/>
        </w:rPr>
        <w:t>Документ раскрывает и наполняет содержанием приказ о структуре оплаты труда 75/25: методологию, привязку переменной части к прибыли и конкретные показатели по каждому сотруднику. Служит Положением о премировании и основой для Матрицы 75/25 (Приложение 1) и карт показателей.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Суть модели. </w:t>
      </w:r>
      <w:r>
        <w:rPr>
          <w:b w:val="0"/>
          <w:i w:val="0"/>
          <w:color w:val="2A3746"/>
          <w:sz w:val="22"/>
        </w:rPr>
        <w:t xml:space="preserve">Заработная плата = </w:t>
      </w:r>
      <w:r>
        <w:rPr>
          <w:b/>
          <w:i w:val="0"/>
          <w:color w:val="13294B"/>
          <w:sz w:val="22"/>
        </w:rPr>
        <w:t>75% постоянная (оклад) + 25% переменная (премия)</w:t>
      </w:r>
      <w:r>
        <w:rPr>
          <w:b w:val="0"/>
          <w:i w:val="0"/>
          <w:color w:val="2A3746"/>
          <w:sz w:val="22"/>
        </w:rPr>
        <w:t xml:space="preserve">. Переменная начисляется по итогам месяца при выполнении показателей и составляет </w:t>
      </w:r>
      <w:r>
        <w:rPr>
          <w:b/>
          <w:i w:val="0"/>
          <w:color w:val="13294B"/>
          <w:sz w:val="22"/>
        </w:rPr>
        <w:t>от 0% до 100% лимита (25%)</w:t>
      </w:r>
      <w:r>
        <w:rPr>
          <w:b w:val="0"/>
          <w:i w:val="0"/>
          <w:color w:val="2A3746"/>
          <w:sz w:val="22"/>
        </w:rPr>
        <w:t xml:space="preserve"> — в точном соответствии с приказом. При выполнении на 100% сотрудник получает свою текущую сумму; при недовыполнении — теряет часть переменной. Эти 25% держат людей в тонусе.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Привязка к прибыли (как в сильных транспортно-логистических компаниях). </w:t>
      </w:r>
      <w:r>
        <w:rPr>
          <w:b w:val="0"/>
          <w:i w:val="0"/>
          <w:color w:val="2A3746"/>
          <w:sz w:val="22"/>
        </w:rPr>
        <w:t xml:space="preserve">У сотрудников передовой линии (фронт) главный показатель — личная/командная </w:t>
      </w:r>
      <w:r>
        <w:rPr>
          <w:b/>
          <w:i w:val="0"/>
          <w:color w:val="13294B"/>
          <w:sz w:val="22"/>
        </w:rPr>
        <w:t>валовая прибыль (маржа)</w:t>
      </w:r>
      <w:r>
        <w:rPr>
          <w:b w:val="0"/>
          <w:i w:val="0"/>
          <w:color w:val="2A3746"/>
          <w:sz w:val="22"/>
        </w:rPr>
        <w:t xml:space="preserve"> по перевозкам по правилу «не ниже K× собственной стоимости». У поддержки (тыл) в показателях есть доля от чистой прибыли компании — чтобы весь коллектив тянул в одну сторону.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Статус. </w:t>
      </w:r>
      <w:r>
        <w:rPr>
          <w:b w:val="0"/>
          <w:i w:val="0"/>
          <w:color w:val="6B7A8D"/>
          <w:sz w:val="22"/>
        </w:rPr>
        <w:t>Проект. Коэффициент K и пороги — по управленческой отчётности; распределение ролей Президент/Генеральный директор — уточнить.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1. Оценка фонда оплаты труда</w:t>
      </w:r>
    </w:p>
    <w:p>
      <w:pPr>
        <w:pStyle w:val="Heading2"/>
      </w:pPr>
      <w:r>
        <w:rPr>
          <w:rFonts w:ascii="Calibri" w:hAnsi="Calibri"/>
          <w:color w:val="2F6690"/>
        </w:rPr>
        <w:t>1.1. Ключевые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Значение (в месяц)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В год</w:t>
            </w:r>
          </w:p>
        </w:tc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Оклад начисленный (с отчислениями)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19 834 098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238,0 млн ₸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Целевой доход (100%), база деления 75/25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Заработная плата на руки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16 150 000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193,8 млн ₸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Выплата сотрудникам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Налоги и отчисления с зарплаты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6 130 320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73,6 млн ₸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+38% к сумме «на руки»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b/>
                <w:color w:val="2A3746"/>
                <w:sz w:val="19"/>
              </w:rPr>
              <w:t>Полная стоимость (со всеми налогами)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/>
                <w:color w:val="2A3746"/>
                <w:sz w:val="19"/>
              </w:rPr>
              <w:t>22 280 320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/>
                <w:color w:val="2A3746"/>
                <w:sz w:val="19"/>
              </w:rPr>
              <w:t>267,4 млн ₸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/>
                <w:color w:val="2A3746"/>
                <w:sz w:val="19"/>
              </w:rPr>
              <w:t>Стоимость для компании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Налоговая нагрузка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27,5% от фонда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—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Пенсионные, соц., медицинские и подоходный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C4772F"/>
        </w:rPr>
        <w:t>1.2. Выводы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Перекос в сторону руководства. </w:t>
      </w:r>
      <w:r>
        <w:rPr>
          <w:b w:val="0"/>
          <w:color w:val="2A3746"/>
          <w:sz w:val="22"/>
        </w:rPr>
        <w:t>Четыре верхние роли — 68% фонда на 4 из 13 человек; Президент и финансовый директор вдвоём — 52,6%. Разрыв между максимальным и минимальным окладом — около 33 раз.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Дублирование верхнего уровня. </w:t>
      </w:r>
      <w:r>
        <w:rPr>
          <w:b w:val="0"/>
          <w:color w:val="2A3746"/>
          <w:sz w:val="22"/>
        </w:rPr>
        <w:t>Президент, Генеральный директор и Операционный директор — три «первые» роли; зоны ответственности нужно чётко разграничить, иначе цели по прибыли пересекутся.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Нет вилок по уровням. </w:t>
      </w:r>
      <w:r>
        <w:rPr>
          <w:b w:val="0"/>
          <w:color w:val="2A3746"/>
          <w:sz w:val="22"/>
        </w:rPr>
        <w:t>Должность «Менеджер по логистике» оплачивается от 150 000 до 800 000 ₸ (разница в 5,3 раза) — нужна формализация уровней (младший / старший).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Оплата не зависела от результата. </w:t>
      </w:r>
      <w:r>
        <w:rPr>
          <w:b w:val="0"/>
          <w:color w:val="2A3746"/>
          <w:sz w:val="22"/>
        </w:rPr>
        <w:t>Модель 75/25 вводит переменную часть и привязывает её к прибыли — как в сильных перевозочных компаниях.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Никто не отвечал за маржу лично. </w:t>
      </w:r>
      <w:r>
        <w:rPr>
          <w:b w:val="0"/>
          <w:color w:val="2A3746"/>
          <w:sz w:val="22"/>
        </w:rPr>
        <w:t>Ниже (раздел 2.4) закрепляем цель по валовой/чистой прибыли за каждым сотрудником передовой линии.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2. Методология: модель 75/25 с привязкой к прибыли</w:t>
      </w:r>
    </w:p>
    <w:p>
      <w:pPr>
        <w:pStyle w:val="Heading2"/>
      </w:pPr>
      <w:r>
        <w:rPr>
          <w:rFonts w:ascii="Calibri" w:hAnsi="Calibri"/>
          <w:color w:val="2F6690"/>
        </w:rPr>
        <w:t>2.1. Принципы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Заработная плата = 75% постоянная часть (оклад) + 25% переменная часть (премия). Единое правило для всех сотрудников.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Переменная составляет от 0% до 100% лимита (25%) в зависимости от выполнения показателей — как установлено приказом.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Каждый рейс — прибыль. У сотрудника передовой линии есть цель по валовой прибыли (марже); к ней привязана переменная часть.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Поддержка (тыл) держит долю переменной на чистой прибыли компании — чтобы быть заинтересованной в общем результате.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Прозрачность: у каждого 3–5 показателей с весами, планом и источником факта; расчёт по единой формуле, сверка Комитетом.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Основание начисления — отчёт руководителя о выполнении показателей и служебная записка на премирование (приказ п.4.2).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Стоп-факторы: происшествие по вине, нарушение правил перевозки/охраны труда или дисциплины снижают или обнуляют переменную (приказ п.4.4).</w:t>
      </w:r>
    </w:p>
    <w:p>
      <w:pPr>
        <w:pStyle w:val="Heading2"/>
      </w:pPr>
      <w:r>
        <w:rPr>
          <w:rFonts w:ascii="Calibri" w:hAnsi="Calibri"/>
          <w:color w:val="2F6690"/>
        </w:rPr>
        <w:t>2.2. Структура оплаты 75/25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  <w:shd w:val="clear" w:fill="13294B"/>
          </w:tcPr>
          <w:p>
            <w:r>
              <w:rPr>
                <w:b/>
                <w:color w:val="FFFFFF"/>
                <w:sz w:val="20"/>
              </w:rPr>
              <w:t>Часть оплаты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Доля от целевого дохода</w:t>
            </w:r>
          </w:p>
        </w:tc>
        <w:tc>
          <w:tcPr>
            <w:tcW w:type="dxa" w:w="2721"/>
            <w:shd w:val="clear" w:fill="13294B"/>
          </w:tcPr>
          <w:p>
            <w:r>
              <w:rPr>
                <w:b/>
                <w:color w:val="FFFFFF"/>
                <w:sz w:val="20"/>
              </w:rPr>
              <w:t>Когда выплачивается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20"/>
              </w:rPr>
              <w:t>Смысл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Постоянная (оклад)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75%</w:t>
            </w:r>
          </w:p>
        </w:tc>
        <w:tc>
          <w:tcPr>
            <w:tcW w:type="dxa" w:w="272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Всегда, за отработанное время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Стабильность, база для жизни сотрудника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Переменная (премия)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до 25% (лимит)</w:t>
            </w:r>
          </w:p>
        </w:tc>
        <w:tc>
          <w:tcPr>
            <w:tcW w:type="dxa" w:w="272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По итогам месяца, при выполнении показателей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Тонус — за результат и прибыль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/>
                <w:color w:val="2A3746"/>
                <w:sz w:val="19"/>
              </w:rPr>
              <w:t>Итого при выполнении 100%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/>
                <w:color w:val="2A3746"/>
                <w:sz w:val="19"/>
              </w:rPr>
              <w:t>100%</w:t>
            </w:r>
          </w:p>
        </w:tc>
        <w:tc>
          <w:tcPr>
            <w:tcW w:type="dxa" w:w="2721"/>
            <w:shd w:val="clear" w:fill="F1F5F9"/>
          </w:tcPr>
          <w:p>
            <w:r>
              <w:rPr>
                <w:b/>
                <w:color w:val="2A3746"/>
                <w:sz w:val="19"/>
              </w:rPr>
              <w:t>—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/>
                <w:color w:val="2A3746"/>
                <w:sz w:val="19"/>
              </w:rPr>
              <w:t>Текущая зарплата без изменений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Минимум (показатели не выполнены)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75%</w:t>
            </w:r>
          </w:p>
        </w:tc>
        <w:tc>
          <w:tcPr>
            <w:tcW w:type="dxa" w:w="272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—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Премия не начисляется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Переменная — диапазон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0–100% лимита</w:t>
            </w:r>
          </w:p>
        </w:tc>
        <w:tc>
          <w:tcPr>
            <w:tcW w:type="dxa" w:w="272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По факту выполнения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Верхний предел — лимит (25%), по приказу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Экономика для компании. </w:t>
      </w:r>
      <w:r>
        <w:rPr>
          <w:b w:val="0"/>
          <w:i w:val="0"/>
          <w:color w:val="2A3746"/>
          <w:sz w:val="22"/>
        </w:rPr>
        <w:t>Под результатом — 25% дохода: около 4,96 млн ₸ в месяц (около 59,5 млн ₸ в год, база брутто). При выполнении на 100% выплачивается полностью (фонд не растёт). По приказу премия не превышает лимит, поэтому верхний предел фонда равен текущему — перерасхода нет; экономия возникает при недовыполнении.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Три уровня суммы и база деления. </w:t>
      </w:r>
      <w:r>
        <w:rPr>
          <w:b w:val="0"/>
          <w:i w:val="0"/>
          <w:color w:val="2A3746"/>
          <w:sz w:val="22"/>
        </w:rPr>
        <w:t xml:space="preserve">В матрице (Приложение 1) для каждого сотрудника показаны три уровня: </w:t>
      </w:r>
      <w:r>
        <w:rPr>
          <w:b/>
          <w:i w:val="0"/>
          <w:color w:val="13294B"/>
          <w:sz w:val="22"/>
        </w:rPr>
        <w:t>«на руки» (нетто), «брутто/оклад» (начисленный) и «полная стоимость» (ФОТ со всеми налогами)</w:t>
      </w:r>
      <w:r>
        <w:rPr>
          <w:b w:val="0"/>
          <w:i w:val="0"/>
          <w:color w:val="2A3746"/>
          <w:sz w:val="22"/>
        </w:rPr>
        <w:t xml:space="preserve">. База деления 75/25 выбирается ячейкой-переключателем. По умолчанию — </w:t>
      </w:r>
      <w:r>
        <w:rPr>
          <w:b/>
          <w:i w:val="0"/>
          <w:color w:val="13294B"/>
          <w:sz w:val="22"/>
        </w:rPr>
        <w:t>брутто (оклад)</w:t>
      </w:r>
      <w:r>
        <w:rPr>
          <w:b w:val="0"/>
          <w:i w:val="0"/>
          <w:color w:val="2A3746"/>
          <w:sz w:val="22"/>
        </w:rPr>
        <w:t>: именно в брутто оклад указывается в трудовом договоре. Сумма «на руки» приведена для наглядности эффекта в чистых деньгах (переменная часть также облагается налогами). При выборе базы «на руки» оклад (75%) перед договором пересчитывается в брутто.</w:t>
      </w:r>
    </w:p>
    <w:p>
      <w:pPr>
        <w:pStyle w:val="Heading2"/>
      </w:pPr>
      <w:r>
        <w:rPr>
          <w:rFonts w:ascii="Calibri" w:hAnsi="Calibri"/>
          <w:color w:val="2F6690"/>
        </w:rPr>
        <w:t>2.3. Формула переменной части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Премия = Лимит (25% × Целевой доход) × Итоговое выполнение показателей × Стоп-фактор   (не выше лимита, т.е. 100%)</w:t>
      </w:r>
    </w:p>
    <w:p>
      <w:pPr>
        <w:spacing w:after="120" w:before="40"/>
      </w:pPr>
      <w:r>
        <w:rPr>
          <w:b/>
          <w:i w:val="0"/>
          <w:color w:val="2F6690"/>
          <w:sz w:val="22"/>
        </w:rPr>
        <w:t>Итоговое выполнение = сумма (Выполнение показателя × Вес);   Итого к выплате = Оклад (75%) + Премия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5102"/>
            <w:shd w:val="clear" w:fill="13294B"/>
          </w:tcPr>
          <w:p>
            <w:r>
              <w:rPr>
                <w:b/>
                <w:color w:val="FFFFFF"/>
                <w:sz w:val="20"/>
              </w:rPr>
              <w:t>Что означает</w:t>
            </w:r>
          </w:p>
        </w:tc>
        <w:tc>
          <w:tcPr>
            <w:tcW w:type="dxa" w:w="1587"/>
            <w:shd w:val="clear" w:fill="13294B"/>
          </w:tcPr>
          <w:p>
            <w:r>
              <w:rPr>
                <w:b/>
                <w:color w:val="FFFFFF"/>
                <w:sz w:val="20"/>
              </w:rPr>
              <w:t>Диапазон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Выполнение показателя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Факт относительно плана (порог / план / выше плана)</w:t>
            </w:r>
          </w:p>
        </w:tc>
        <w:tc>
          <w:tcPr>
            <w:tcW w:type="dxa" w:w="1587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0–100% (для премии)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Вес показателя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Значимость (сумма весов = 100%); у передовой линии показатель прибыли — главный</w:t>
            </w:r>
          </w:p>
        </w:tc>
        <w:tc>
          <w:tcPr>
            <w:tcW w:type="dxa" w:w="1587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10–50%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Стоп-фактор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Дисциплина / происшествие / нарушение правил перевозки, охраны труда</w:t>
            </w:r>
          </w:p>
        </w:tc>
        <w:tc>
          <w:tcPr>
            <w:tcW w:type="dxa" w:w="1587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0 / 0,5 / 1,0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Шкала выполнения: </w:t>
      </w:r>
      <w:r>
        <w:rPr>
          <w:b w:val="0"/>
          <w:i w:val="0"/>
          <w:color w:val="2A3746"/>
          <w:sz w:val="22"/>
        </w:rPr>
        <w:t>ниже порога — 0%; на пороге — 50%; на плане и выше — 100% (для расчёта премии применяется не выше 100% лимита). Между точками — по прямой пропорции.</w:t>
      </w:r>
    </w:p>
    <w:p>
      <w:pPr>
        <w:pStyle w:val="Heading2"/>
      </w:pPr>
      <w:r>
        <w:rPr>
          <w:rFonts w:ascii="Calibri" w:hAnsi="Calibri"/>
          <w:color w:val="2F6690"/>
        </w:rPr>
        <w:t>2.4. Привязка к прибыли: передовая линия и поддержка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Передовая линия (фронт)</w:t>
      </w:r>
      <w:r>
        <w:rPr>
          <w:b w:val="0"/>
          <w:i w:val="0"/>
          <w:color w:val="2A3746"/>
          <w:sz w:val="22"/>
        </w:rPr>
        <w:t xml:space="preserve"> — роли, напрямую создающие маржу: руководство (владеет прибылью целиком), операционный директор и начальник отдела логистики (валовая прибыль направлений), менеджеры по логистике (маржа по своим перевозкам), менеджер по закрытию (прибыль по закрытым перевозкам). У каждого показатель прибыли имеет вес 40–45%.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Поддержка (тыл)</w:t>
      </w:r>
      <w:r>
        <w:rPr>
          <w:b w:val="0"/>
          <w:i w:val="0"/>
          <w:color w:val="2A3746"/>
          <w:sz w:val="22"/>
        </w:rPr>
        <w:t xml:space="preserve"> — отдел персонала, менеджер по персоналу, юрист: функциональные показатели плюс доля от чистой прибыли компании (вес около 25%).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Правило прибыли: </w:t>
      </w:r>
      <w:r>
        <w:rPr>
          <w:b w:val="0"/>
          <w:i w:val="0"/>
          <w:color w:val="2A3746"/>
          <w:sz w:val="22"/>
        </w:rPr>
        <w:t>целевая валовая прибыль сотрудника передовой линии не ниже, чем K× его годовая стоимость (фонд оплаты). Коэффициент K задаётся из отчётности так, чтобы сумма целей передовой линии покрывала все затраты и целевую прибыль. Ниже — стоимость и ориентир при K=3 (для примера).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75"/>
            <w:shd w:val="clear" w:fill="13294B"/>
          </w:tcPr>
          <w:p>
            <w:r>
              <w:rPr>
                <w:b/>
                <w:color w:val="FFFFFF"/>
                <w:sz w:val="20"/>
              </w:rPr>
              <w:t>Сотрудник передовой линии</w:t>
            </w:r>
          </w:p>
        </w:tc>
        <w:tc>
          <w:tcPr>
            <w:tcW w:type="dxa" w:w="2948"/>
            <w:shd w:val="clear" w:fill="13294B"/>
          </w:tcPr>
          <w:p>
            <w:r>
              <w:rPr>
                <w:b/>
                <w:color w:val="FFFFFF"/>
                <w:sz w:val="20"/>
              </w:rPr>
              <w:t>Цель по прибыли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20"/>
              </w:rPr>
              <w:t>Стоимость в год, ₸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Ориентир при K=3, ₸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Президент / Ген. директор / Фин. директор</w:t>
            </w:r>
          </w:p>
        </w:tc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Чистая прибыль компании (весь результат)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 плану компании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Унбетпаев Е. (операционный директор)</w:t>
            </w:r>
          </w:p>
        </w:tc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Валовая прибыль по операциям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25 491 360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76 474 080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Доолоткулов Д. (начальник отдела логистики)</w:t>
            </w:r>
          </w:p>
        </w:tc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Валовая прибыль отдела перевозок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17 073 612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51 220 836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Сибагатов Х. (менеджер, старший)</w:t>
            </w:r>
          </w:p>
        </w:tc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перевозкам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13 686 336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41 059 008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Таджимурадова А. (закрытие)</w:t>
            </w:r>
          </w:p>
        </w:tc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Прибыль по закрытым перевозкам + оплата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5 285 472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15 856 416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Сейтқадыр Д. (менеджер)</w:t>
            </w:r>
          </w:p>
        </w:tc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перевозкам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3 295 044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9 885 132</w:t>
            </w:r>
          </w:p>
        </w:tc>
      </w:tr>
      <w:tr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Жунусова К. (менеджер)</w:t>
            </w:r>
          </w:p>
        </w:tc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Маржа по своим перевозкам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3 142 032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9 426 096</w:t>
            </w:r>
          </w:p>
        </w:tc>
      </w:tr>
      <w:tr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Белова П. (менеджер, младший)</w:t>
            </w:r>
          </w:p>
        </w:tc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перевозкам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2 414 124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7 242 372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6B7A8D"/>
          <w:sz w:val="18"/>
        </w:rPr>
        <w:t>Стоимость = «Полная стоимость со всеми налогами» × 12. Коэффициент K — единый ориентир; для младших/старших пороги различаются по уровню.</w:t>
      </w:r>
    </w:p>
    <w:p>
      <w:pPr>
        <w:pStyle w:val="Heading2"/>
      </w:pPr>
      <w:r>
        <w:rPr>
          <w:rFonts w:ascii="Calibri" w:hAnsi="Calibri"/>
          <w:color w:val="2F6690"/>
        </w:rPr>
        <w:t>2.5. Периодичность и управление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Периодичность. </w:t>
      </w:r>
      <w:r>
        <w:rPr>
          <w:b w:val="0"/>
          <w:color w:val="2A3746"/>
          <w:sz w:val="22"/>
        </w:rPr>
        <w:t>Начисление переменной — ежемесячно (приказ п.4.1); при необходимости — ежеквартально по решению работодателя.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Комитет по показателям. </w:t>
      </w:r>
      <w:r>
        <w:rPr>
          <w:b w:val="0"/>
          <w:color w:val="2A3746"/>
          <w:sz w:val="22"/>
        </w:rPr>
        <w:t>Президент/Генеральный директор (председатель), финансовый директор, отдел персонала: утверждение целей и сверка результатов.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Источник факта по прибыли. </w:t>
      </w:r>
      <w:r>
        <w:rPr>
          <w:b w:val="0"/>
          <w:color w:val="2A3746"/>
          <w:sz w:val="22"/>
        </w:rPr>
        <w:t>Валовая и чистая прибыль — из управленческой отчётности (финансовый директор); маржа по перевозкам — из расчёта себестоимости и учёта заявок.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Раздельный учёт. </w:t>
      </w:r>
      <w:r>
        <w:rPr>
          <w:b w:val="0"/>
          <w:color w:val="2A3746"/>
          <w:sz w:val="22"/>
        </w:rPr>
        <w:t>Бухгалтерия ведёт раздельный учёт постоянной и переменной частей и отражает их в расчётных листках (приказ п.6).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3. Карты показателей сотрудников</w:t>
      </w:r>
    </w:p>
    <w:p>
      <w:pPr>
        <w:spacing w:after="120" w:before="0"/>
      </w:pPr>
      <w:r>
        <w:rPr>
          <w:b w:val="0"/>
          <w:i w:val="0"/>
          <w:color w:val="6B7A8D"/>
          <w:sz w:val="22"/>
        </w:rPr>
        <w:t>У всех: 75% оклад + 25% премия (лимит). Показатель прибыли выделен. Сумма весов = 100%. План и пороги настраивает руководитель направления.</w:t>
      </w:r>
    </w:p>
    <w:p>
      <w:pPr>
        <w:pStyle w:val="Heading2"/>
      </w:pPr>
      <w:r>
        <w:rPr>
          <w:rFonts w:ascii="Calibri" w:hAnsi="Calibri"/>
          <w:color w:val="2F6690"/>
        </w:rPr>
        <w:t>3.1. Серикбаев Адиль — Президент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Выручка к плану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Отчёт о продажах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Развитие: новые направления, клиенты, география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этапов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 развития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Денежный поток и привлечённое финансирование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Движение средств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Удержание ключевой команды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92%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персонала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чистая прибыль компании — отвечает за весь результат.</w:t>
      </w:r>
    </w:p>
    <w:p>
      <w:pPr>
        <w:pStyle w:val="Heading2"/>
      </w:pPr>
      <w:r>
        <w:rPr>
          <w:rFonts w:ascii="Calibri" w:hAnsi="Calibri"/>
          <w:color w:val="2F6690"/>
        </w:rPr>
        <w:t>3.2. Данияр Алим — Генеральный директор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Валовая прибыль и рентабельность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Выручка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Отчёт о продажах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Выполнение годового плана (стратег. цели)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 целей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 года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Удовлетворённость и удержание клиентов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балл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Опрос клиентов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чистая и валовая прибыль компании — операционный результат.</w:t>
      </w:r>
    </w:p>
    <w:p>
      <w:pPr>
        <w:pStyle w:val="Heading2"/>
      </w:pPr>
      <w:r>
        <w:rPr>
          <w:rFonts w:ascii="Calibri" w:hAnsi="Calibri"/>
          <w:color w:val="2F6690"/>
        </w:rPr>
        <w:t>3.3. Аубакиров Алимбек — Финансовый директор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Запас денежных средств, без кассовых разрывов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мес.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Движение средств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Период оборота дебиторской задолженности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−10%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−20%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Реестр расчётов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бюджета (отклонение факт/план)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±10%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±5%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±2%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План/факт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Привлечение и стоимость финансирования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Казначейство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чистая прибыль и денежная устойчивость компании.</w:t>
      </w:r>
    </w:p>
    <w:p>
      <w:pPr>
        <w:pStyle w:val="Heading2"/>
      </w:pPr>
      <w:r>
        <w:rPr>
          <w:rFonts w:ascii="Calibri" w:hAnsi="Calibri"/>
          <w:color w:val="2F6690"/>
        </w:rPr>
        <w:t>3.4. Унбетпаев Ернар — Операционный директор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по операциям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(в срок и полностью)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 операций на тонну/километр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ниже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Безопасность: происшествия, охрана труда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Служба безопасности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валовая прибыль по операциям не ниже K× стоимости (ориентир ~76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3.5. Доолоткулов Данияр — Начальник отдела логистики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отдела перевозок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отделу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 перевозки на рейс/тонну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−7%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−15%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Сохранность груза и уровень претензий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валовая прибыль отдела не ниже K× стоимости (ориентир ~51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3.6. Сибагатов Хамардин — Менеджер по логистике (старший)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(~41 млн ₸/год при K=3), повышенная норма, наставничество.</w:t>
      </w:r>
    </w:p>
    <w:p>
      <w:pPr>
        <w:pStyle w:val="Heading2"/>
      </w:pPr>
      <w:r>
        <w:rPr>
          <w:rFonts w:ascii="Calibri" w:hAnsi="Calibri"/>
          <w:color w:val="2F6690"/>
        </w:rPr>
        <w:t>3.7. Жунусова Камила — Менеджер по логистике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(~9,4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3.8. Сейтқадыр Дарын — Менеджер по логистике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(~9,9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3.9. Белова Полина — Менеджер по логистике (младший)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перевозкам (≥ K× стоимости)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Себестоимость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Объём организованных перевозок к норме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 по своим рейсам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Точность документов и сохранность груза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претензии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рекламаций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маржа ≥ K× стоимости (~7,2 млн ₸/год при K=3), пороги ниже по уровню.</w:t>
      </w:r>
    </w:p>
    <w:p>
      <w:pPr>
        <w:pStyle w:val="Heading2"/>
      </w:pPr>
      <w:r>
        <w:rPr>
          <w:rFonts w:ascii="Calibri" w:hAnsi="Calibri"/>
          <w:color w:val="2F6690"/>
        </w:rPr>
        <w:t>3.10. Таджимурадова Асем — Менеджер по закрытию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ПЕРЕДОВАЯ ЛИНИЯ · цель по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по закрытым перевозкам к плану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Учёт/отчётность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Собираемость оплаты от клиентов в срок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Реестр расчётов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Срок закрытия и оформления документов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быстрее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Документооборот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документов, отсутствие расхождений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Сверка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Цель по прибыли: </w:t>
      </w:r>
      <w:r>
        <w:rPr>
          <w:b w:val="0"/>
          <w:i w:val="0"/>
          <w:color w:val="2A3746"/>
          <w:sz w:val="19"/>
        </w:rPr>
        <w:t>прибыль по закрытым перевозкам и собранная оплата не ниже K× стоимости (~15,9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3.11. Аманбекова Айгуль — Руководитель отдела персонала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ПОДДЕРЖКА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показатель)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Удержание ключевого персонала / текучесть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Кадровый учёт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Срок закрытия ключевых вакансий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Отчёт по подбору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Вовлечённость персонала (по опросу)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балл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Опрос персонала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Внедрение системы мотивации / бюджет фонда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без ошибок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 отдела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3.12. Байльденова Шолпан — Менеджер по персоналу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ПОДДЕРЖКА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показатель)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Срок закрытия вакансий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Отчёт по подбору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Кадровый учёт без нарушений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шт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 в срок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без замечаний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Кадровый аудит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и своевременность расчёта зарплаты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без ошибок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Бухгалтерия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Адаптация новых сотрудников (прохождение срока)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Отдел персонала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3.13. Ташметов Сакен — Юрист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оклад + 25% премия (лимит) · ПОДДЕРЖКА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72"/>
            <w:shd w:val="clear" w:fill="13294B"/>
          </w:tcPr>
          <w:p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567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964"/>
            <w:shd w:val="clear" w:fill="13294B"/>
          </w:tcPr>
          <w:p>
            <w:r>
              <w:rPr>
                <w:b/>
                <w:color w:val="FFFFFF"/>
                <w:sz w:val="17"/>
              </w:rPr>
              <w:t>Выше плана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 факта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показатель)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Взысканная дебиторская задолженность / споры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₸ / 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Претензии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Согласование договоров в срок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Реестр договоров</w:t>
            </w:r>
          </w:p>
        </w:tc>
      </w:tr>
      <w:tr>
        <w:tc>
          <w:tcPr>
            <w:tcW w:type="dxa" w:w="357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Юридические риски: штрафы, просрочки</w:t>
            </w:r>
          </w:p>
        </w:tc>
        <w:tc>
          <w:tcPr>
            <w:tcW w:type="dxa" w:w="56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96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Реестр рисков</w:t>
            </w:r>
          </w:p>
        </w:tc>
      </w:tr>
      <w:tr>
        <w:tc>
          <w:tcPr>
            <w:tcW w:type="dxa" w:w="357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Юридическое сопровождение сделок и перевозок</w:t>
            </w:r>
          </w:p>
        </w:tc>
        <w:tc>
          <w:tcPr>
            <w:tcW w:type="dxa" w:w="56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этапов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6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Проекты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4. Порядок премирования (Положение)</w:t>
      </w:r>
    </w:p>
    <w:p>
      <w:pPr>
        <w:pStyle w:val="Heading2"/>
      </w:pPr>
      <w:r>
        <w:rPr>
          <w:rFonts w:ascii="Calibri" w:hAnsi="Calibri"/>
          <w:color w:val="2F6690"/>
        </w:rPr>
        <w:t>4.1. Расчёт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Итого к выплате = Оклад (75%) + Премия;   Премия = Лимит (25%) × Итоговое выполнение показателей × Стоп-фактор   (не выше лимита — по приказу).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Постоянная часть (оклад). </w:t>
      </w:r>
      <w:r>
        <w:rPr>
          <w:b w:val="0"/>
          <w:color w:val="2A3746"/>
          <w:sz w:val="22"/>
        </w:rPr>
        <w:t>75% целевого дохода — выплачивается всегда за отработанное время.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Переменная часть (премия). </w:t>
      </w:r>
      <w:r>
        <w:rPr>
          <w:b w:val="0"/>
          <w:color w:val="2A3746"/>
          <w:sz w:val="22"/>
        </w:rPr>
        <w:t>до 25% целевого дохода; размер — от 0% до 100% лимита в зависимости от выполнения показателей (приказ п.4.3).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Основание начисления. </w:t>
      </w:r>
      <w:r>
        <w:rPr>
          <w:b w:val="0"/>
          <w:color w:val="2A3746"/>
          <w:sz w:val="22"/>
        </w:rPr>
        <w:t>утверждённые показатели, отчёт руководителя подразделения о выполнении и служебная записка на премирование (приказ п.4.2).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Стоп-фактор. </w:t>
      </w:r>
      <w:r>
        <w:rPr>
          <w:b w:val="0"/>
          <w:color w:val="2A3746"/>
          <w:sz w:val="22"/>
        </w:rPr>
        <w:t>дисциплинарное взыскание, происшествие по вине, нарушение требований по качеству/срокам → премия снижается или не выплачивается (приказ п.4.4).</w:t>
      </w:r>
    </w:p>
    <w:p>
      <w:pPr>
        <w:pStyle w:val="Heading2"/>
      </w:pPr>
      <w:r>
        <w:rPr>
          <w:rFonts w:ascii="Calibri" w:hAnsi="Calibri"/>
          <w:color w:val="2F6690"/>
        </w:rPr>
        <w:t>4.2. Пример расчёта (менеджер по логистике)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Целевой доход 200 000 ₸ → оклад 150 000 + лимит премии 50 000. Период — месяц.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2154"/>
            <w:shd w:val="clear" w:fill="13294B"/>
          </w:tcPr>
          <w:p>
            <w:r>
              <w:rPr>
                <w:b/>
                <w:color w:val="FFFFFF"/>
                <w:sz w:val="20"/>
              </w:rPr>
              <w:t>Итоговое выполнение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20"/>
              </w:rPr>
              <w:t>Премия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Итого к выплате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Выполнил / перевыполнил план</w:t>
            </w:r>
          </w:p>
        </w:tc>
        <w:tc>
          <w:tcPr>
            <w:tcW w:type="dxa" w:w="215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100% и выше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50 000 (лимит)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200 000 ₸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премия ограничена лимитом (приказ)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Недовыполнил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около 60%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50 000×0,6 = 30 000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180 000 ₸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−20 000 (тонус)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Провалил цель по прибыли</w:t>
            </w:r>
          </w:p>
        </w:tc>
        <w:tc>
          <w:tcPr>
            <w:tcW w:type="dxa" w:w="215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около 20%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50 000×0,2 = 10 000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160 000 ₸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−40 000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Нарушение (стоп-фактор 0,5)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100%, но со стоп-фактором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50 000×0,5 = 25 000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175 000 ₸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снижение по п.4.4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4.3. Экономика для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Под результатом (лимит 25%)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около 4,96 млн ₸/мес · 59,5 млн ₸/год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Часть дохода, ставшая условной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Фонд при выполнении на 100%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267,4 млн ₸/год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Без изменений (верхний предел по приказу)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Экономия при недовыполнении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до −59,5 млн ₸/год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Если цели массово не достигнуты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Перерасход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нет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Премия не превышает лимит переменной части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Итог: </w:t>
      </w:r>
      <w:r>
        <w:rPr>
          <w:b w:val="0"/>
          <w:i w:val="0"/>
          <w:color w:val="2A3746"/>
          <w:sz w:val="22"/>
        </w:rPr>
        <w:t>модель не увеличивает фонд — платим полностью при достижении целей и экономим при недовыполнении. Мотивация обеспечивается тем, что 25% дохода зависят от результата и прибыли.</w:t>
      </w:r>
    </w:p>
    <w:p>
      <w:pPr>
        <w:pStyle w:val="Heading2"/>
      </w:pPr>
      <w:r>
        <w:rPr>
          <w:rFonts w:ascii="Calibri" w:hAnsi="Calibri"/>
          <w:color w:val="2F6690"/>
        </w:rPr>
        <w:t>4.4. Правила и защита сотрудника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Целевой доход, оклад (75%) и лимит премии (25%) фиксируются дополнительным соглашением к трудовому договору (приказ п.3).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При выполнении показателей на 100% совокупная зарплата не снижается относительно текущей.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Отсутствие факта по показателю по вине сотрудника — 0% по нему; по независящим причинам — показатель исключается, веса перераспределяются.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Факт по прибыли подтверждается управленческой отчётностью; методику учёта маржи по перевозкам утверждает финансовый директор.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Пороги и коэффициент K пересматриваются раз в год, чтобы цели не обесценивались.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5. Соответствие приказу и порядок внедрения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Документ является приложением к приказу ТОО «WayStar Group» о введении структуры оплаты «75/25» (с 01.01.2026) и раскрывает его положения. Сроки и ответственные — согласно приказу: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Пункт приказа</w:t>
            </w:r>
          </w:p>
        </w:tc>
        <w:tc>
          <w:tcPr>
            <w:tcW w:type="dxa" w:w="5443"/>
            <w:shd w:val="clear" w:fill="13294B"/>
          </w:tcPr>
          <w:p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20"/>
              </w:rPr>
              <w:t>Срок / ответственный</w:t>
            </w:r>
          </w:p>
        </w:tc>
      </w:tr>
      <w:tr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п.7</w:t>
            </w:r>
          </w:p>
        </w:tc>
        <w:tc>
          <w:tcPr>
            <w:tcW w:type="dxa" w:w="5443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Руководители направлений передают в отдел персонала перечни показателей и целевые значения по сотрудникам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до 15.01.2026</w:t>
            </w:r>
          </w:p>
        </w:tc>
      </w:tr>
      <w:tr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п.5.1</w:t>
            </w:r>
          </w:p>
        </w:tc>
        <w:tc>
          <w:tcPr>
            <w:tcW w:type="dxa" w:w="5443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Отдел персонала готовит дополнительные соглашения к трудовым договорам и обеспечивает подписание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до 20.01.2026</w:t>
            </w:r>
          </w:p>
        </w:tc>
      </w:tr>
      <w:tr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п.5.2</w:t>
            </w:r>
          </w:p>
        </w:tc>
        <w:tc>
          <w:tcPr>
            <w:tcW w:type="dxa" w:w="5443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Ознакомление сотрудников с приказом и приложениями под роспись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до 20.01.2026</w:t>
            </w:r>
          </w:p>
        </w:tc>
      </w:tr>
      <w:tr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п.6</w:t>
            </w:r>
          </w:p>
        </w:tc>
        <w:tc>
          <w:tcPr>
            <w:tcW w:type="dxa" w:w="5443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Бухгалтерия обеспечивает раздельный учёт постоянной и переменной частей в расчётных листках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постоянно</w:t>
            </w:r>
          </w:p>
        </w:tc>
      </w:tr>
      <w:tr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п.8</w:t>
            </w:r>
          </w:p>
        </w:tc>
        <w:tc>
          <w:tcPr>
            <w:tcW w:type="dxa" w:w="5443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Контроль исполнения приказа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Менеджер по персоналу Байльденова Ш.</w:t>
            </w:r>
          </w:p>
        </w:tc>
      </w:tr>
      <w:tr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п.1</w:t>
            </w:r>
          </w:p>
        </w:tc>
        <w:tc>
          <w:tcPr>
            <w:tcW w:type="dxa" w:w="5443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Вступление в силу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01.01.2026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Приложения к приказу: </w:t>
      </w:r>
      <w:r>
        <w:rPr>
          <w:b w:val="0"/>
          <w:i w:val="0"/>
          <w:color w:val="2A3746"/>
          <w:sz w:val="22"/>
        </w:rPr>
        <w:t>1) Матрица структуры оплаты (75/25) и показателей — файл «WayStar_Матрица_и_показатели» (листы «Матрица 75-25», «Показатели (детально)», «Справочник показателей»); 2) настоящее Положение о премировании (разделы 2 и 4); 3) карты показателей по сотрудникам (раздел 3); форма служебной записки на премирование — по образцу компании.</w:t>
      </w:r>
    </w:p>
    <w:p>
      <w:pPr>
        <w:spacing w:after="120" w:before="120"/>
      </w:pPr>
      <w:r>
        <w:rPr>
          <w:b/>
          <w:i w:val="0"/>
          <w:color w:val="C4772F"/>
          <w:sz w:val="18"/>
        </w:rPr>
        <w:t xml:space="preserve">Примечание. </w:t>
      </w:r>
      <w:r>
        <w:rPr>
          <w:b w:val="0"/>
          <w:i w:val="0"/>
          <w:color w:val="6B7A8D"/>
          <w:sz w:val="18"/>
        </w:rPr>
        <w:t>Значения фонда — по управленческой ведомости, подлежат сверке с бухгалтерией. Коэффициент K и пороги показателей утверждаются руководителями направлений и финансовым директором.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A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