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6690"/>
          <w:sz w:val="26"/>
        </w:rPr>
        <w:t>ТОО «WAYSTAR GROUP»</w:t>
      </w:r>
    </w:p>
    <w:p>
      <w:pPr>
        <w:pStyle w:val="Title"/>
      </w:pPr>
      <w:r>
        <w:rPr>
          <w:rFonts w:ascii="Calibri" w:hAnsi="Calibri"/>
          <w:color w:val="13294B"/>
        </w:rPr>
        <w:t>Стратегия группы на 5 лет</w:t>
      </w:r>
    </w:p>
    <w:p>
      <w:pPr>
        <w:spacing w:after="200" w:before="0"/>
      </w:pPr>
      <w:r>
        <w:rPr>
          <w:b w:val="0"/>
          <w:i w:val="0"/>
          <w:color w:val="6B7A8D"/>
          <w:sz w:val="22"/>
        </w:rPr>
        <w:t>Логистика · Трейдинг · Цифровые решения · Международный центр в Дубае · 2026–2031</w:t>
      </w:r>
    </w:p>
    <w:p>
      <w:pPr>
        <w:pStyle w:val="Heading1"/>
      </w:pPr>
      <w:r>
        <w:rPr>
          <w:rFonts w:ascii="Calibri" w:hAnsi="Calibri"/>
          <w:color w:val="13294B"/>
        </w:rPr>
        <w:t>Стратегическое резюме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Кто мы. </w:t>
      </w:r>
      <w:r>
        <w:rPr>
          <w:b w:val="0"/>
          <w:i w:val="0"/>
          <w:color w:val="2A3746"/>
          <w:sz w:val="22"/>
        </w:rPr>
        <w:t xml:space="preserve">WayStar Group — вертикально интегрированная группа из трёх дивизионов (логистика, трейдинг, цифровые решения), которая контролирует цепочку </w:t>
      </w:r>
      <w:r>
        <w:rPr>
          <w:b/>
          <w:i w:val="0"/>
          <w:color w:val="13294B"/>
          <w:sz w:val="22"/>
        </w:rPr>
        <w:t>«производитель → порт → экспортный рынок»</w:t>
      </w:r>
      <w:r>
        <w:rPr>
          <w:b w:val="0"/>
          <w:i w:val="0"/>
          <w:color w:val="2A3746"/>
          <w:sz w:val="22"/>
        </w:rPr>
        <w:t xml:space="preserve"> и отвечает за поставку целиком. Сегодня: 150 000 т/мес перевозок, 200+ маршрутов, прямые контракты с переработчиками, экспорт до борта судна в порту Актау.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Куда идём. </w:t>
      </w:r>
      <w:r>
        <w:rPr>
          <w:b w:val="0"/>
          <w:i w:val="0"/>
          <w:color w:val="2A3746"/>
          <w:sz w:val="22"/>
        </w:rPr>
        <w:t xml:space="preserve">Стать </w:t>
      </w:r>
      <w:r>
        <w:rPr>
          <w:b/>
          <w:i w:val="0"/>
          <w:color w:val="13294B"/>
          <w:sz w:val="22"/>
        </w:rPr>
        <w:t>интегрированным лидером агро-экспортной логистики и трейдинга</w:t>
      </w:r>
      <w:r>
        <w:rPr>
          <w:b w:val="0"/>
          <w:i w:val="0"/>
          <w:color w:val="2A3746"/>
          <w:sz w:val="22"/>
        </w:rPr>
        <w:t xml:space="preserve"> в Казахстане и регионе: масштабировать трейдинг масла/зерна, вырастить собственный мультимодальный парк (включая программу пищевых цистерн 20 → 5 000 под управлением) и открыть международный центр в Дубае.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Дубай — ход этого года. </w:t>
      </w:r>
      <w:r>
        <w:rPr>
          <w:b w:val="0"/>
          <w:i w:val="0"/>
          <w:color w:val="2A3746"/>
          <w:sz w:val="22"/>
        </w:rPr>
        <w:t xml:space="preserve">Офис «логистика + трейдинг» с оборотом </w:t>
      </w:r>
      <w:r>
        <w:rPr>
          <w:b/>
          <w:i w:val="0"/>
          <w:color w:val="13294B"/>
          <w:sz w:val="22"/>
        </w:rPr>
        <w:t>$50 млн в первый год</w:t>
      </w:r>
      <w:r>
        <w:rPr>
          <w:b w:val="0"/>
          <w:i w:val="0"/>
          <w:color w:val="2A3746"/>
          <w:sz w:val="22"/>
        </w:rPr>
        <w:t>: выход на рынки Ближнего Востока, Африки и Южной Азии, доступ к торговому финансированию и валютной выручке. Казахстан производит и везёт — Дубай продаёт и финансирует.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Как побеждаем. </w:t>
      </w:r>
      <w:r>
        <w:rPr>
          <w:b w:val="0"/>
          <w:i w:val="0"/>
          <w:color w:val="2A3746"/>
          <w:sz w:val="22"/>
        </w:rPr>
        <w:t>Вертикальная интеграция (единый ответственный, маржа на всей цепочке), собственный и привлечённый мультимодальный парк, прямые контракты с переработчиками, цифровая платформа и международный доступ через Дубай.</w:t>
      </w:r>
    </w:p>
    <w:p>
      <w:pPr>
        <w:spacing w:after="120" w:before="0"/>
      </w:pPr>
      <w:r>
        <w:rPr>
          <w:b/>
          <w:i w:val="0"/>
          <w:color w:val="2E7D46"/>
          <w:sz w:val="22"/>
        </w:rPr>
        <w:t xml:space="preserve">Важная оговорка консультанта. </w:t>
      </w:r>
      <w:r>
        <w:rPr>
          <w:b w:val="0"/>
          <w:i w:val="0"/>
          <w:color w:val="2A3746"/>
          <w:sz w:val="22"/>
        </w:rPr>
        <w:t xml:space="preserve">Трейдинг даёт большой оборот при тонкой марже; логистика и цифра — маржу. Стратегия нацелена на </w:t>
      </w:r>
      <w:r>
        <w:rPr>
          <w:b/>
          <w:i w:val="0"/>
          <w:color w:val="13294B"/>
          <w:sz w:val="22"/>
        </w:rPr>
        <w:t>валовую прибыль и интегрированную маржу цепочки</w:t>
      </w:r>
      <w:r>
        <w:rPr>
          <w:b w:val="0"/>
          <w:i w:val="0"/>
          <w:color w:val="2A3746"/>
          <w:sz w:val="22"/>
        </w:rPr>
        <w:t>, а не на «оборот ради оборота».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Статус. </w:t>
      </w:r>
      <w:r>
        <w:rPr>
          <w:b w:val="0"/>
          <w:i w:val="0"/>
          <w:color w:val="6B7A8D"/>
          <w:sz w:val="22"/>
        </w:rPr>
        <w:t>Проект для совета. Абсолютные финансовые значения (кроме заданной цели по Дубаю) иллюстративны — заменить на факт; рыночные данные — открытые источники (раздел «Источники»).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1. Диагностика: группа и рынок</w:t>
      </w:r>
    </w:p>
    <w:p>
      <w:pPr>
        <w:pStyle w:val="Heading2"/>
      </w:pPr>
      <w:r>
        <w:rPr>
          <w:rFonts w:ascii="Calibri" w:hAnsi="Calibri"/>
          <w:color w:val="2F6690"/>
        </w:rPr>
        <w:t>1.1. Группа сегодня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9"/>
              </w:rPr>
              <w:t>Дивизион</w:t>
            </w:r>
          </w:p>
        </w:tc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9"/>
              </w:rPr>
              <w:t>Что делает</w:t>
            </w:r>
          </w:p>
        </w:tc>
        <w:tc>
          <w:tcPr>
            <w:tcW w:type="dxa" w:w="4309"/>
            <w:shd w:val="clear" w:fill="13294B"/>
          </w:tcPr>
          <w:p>
            <w:r>
              <w:rPr>
                <w:b/>
                <w:color w:val="FFFFFF"/>
                <w:sz w:val="19"/>
              </w:rPr>
              <w:t>Показатели / активы</w:t>
            </w:r>
          </w:p>
        </w:tc>
      </w:tr>
      <w:tr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Логистика</w:t>
            </w:r>
          </w:p>
        </w:tc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ЖД, авто, авиа, мультимодальные перевозки по Казахстану, СНГ и на экспорт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150 000 т/мес, 200+ маршрутов; собственный и привлечённый парк: пищевые цистерны, крытые вагоны, полувагоны, зерновозы (20 собственных единиц — ядро)</w:t>
            </w:r>
          </w:p>
        </w:tc>
      </w:tr>
      <w:tr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Трейдинг</w:t>
            </w:r>
          </w:p>
        </w:tc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Два товарных потока: растительное масло (наливом) и зерно/агрокультуры (пшеница, ячмень, лён, масличные); навалочные; прямые контракты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Экспорт до борта судна в порту Актау; прозрачное ценообразование</w:t>
            </w:r>
          </w:p>
        </w:tc>
      </w:tr>
      <w:tr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Цифровые решения (ИТ)</w:t>
            </w:r>
          </w:p>
        </w:tc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Планирование отгрузок и контроль движения груза на каждом этапе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Собственная платформа группы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Сильная сторона: </w:t>
      </w:r>
      <w:r>
        <w:rPr>
          <w:b w:val="0"/>
          <w:i w:val="0"/>
          <w:color w:val="2A3746"/>
          <w:sz w:val="22"/>
        </w:rPr>
        <w:t>вертикальная интеграция — редкое сочетание, дающее контроль срока, цены и качества и дополнительную маржу на каждом звене.</w:t>
      </w:r>
    </w:p>
    <w:p>
      <w:pPr>
        <w:pStyle w:val="Heading2"/>
      </w:pPr>
      <w:r>
        <w:rPr>
          <w:rFonts w:ascii="Calibri" w:hAnsi="Calibri"/>
          <w:color w:val="2F6690"/>
        </w:rPr>
        <w:t>1.2. Рынок и драйверы (открытые данные)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19"/>
              </w:rPr>
              <w:t>Драйвер</w:t>
            </w:r>
          </w:p>
        </w:tc>
        <w:tc>
          <w:tcPr>
            <w:tcW w:type="dxa" w:w="4309"/>
            <w:shd w:val="clear" w:fill="13294B"/>
          </w:tcPr>
          <w:p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2835"/>
            <w:shd w:val="clear" w:fill="13294B"/>
          </w:tcPr>
          <w:p>
            <w:r>
              <w:rPr>
                <w:b/>
                <w:color w:val="FFFFFF"/>
                <w:sz w:val="19"/>
              </w:rPr>
              <w:t>Значение для группы</w:t>
            </w:r>
          </w:p>
        </w:tc>
      </w:tr>
      <w:tr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Растительное масло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Пр-во +17,4%; экспорт $944 млн (+54%), №2 в Китай; цель топ-3; +60% экспорта к 2028</w:t>
            </w:r>
          </w:p>
        </w:tc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Флагманский товар трейдинга и грузопоток логистики</w:t>
            </w:r>
          </w:p>
        </w:tc>
      </w:tr>
      <w:tr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Зерно и агрокультуры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Урожай 25,9 млн т (пшеница 19,3); экспорт зерна и муки 15,3 млн т (+60%), 45 стран</w:t>
            </w:r>
          </w:p>
        </w:tc>
        <w:tc>
          <w:tcPr>
            <w:tcW w:type="dxa" w:w="283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Второй флагман трейдинга; загрузка зерновозов</w:t>
            </w:r>
          </w:p>
        </w:tc>
      </w:tr>
      <w:tr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Переработка масличных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Мощности &gt;5,2 млн т/год (~90 заводов); рост крашинга</w:t>
            </w:r>
          </w:p>
        </w:tc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Грузопоток масла наливом для пищевых цистерн</w:t>
            </w:r>
          </w:p>
        </w:tc>
      </w:tr>
      <w:tr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Логистика РК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$29,3 → 36,2 млрд; автоперевозки ~58%, +18,2%</w:t>
            </w:r>
          </w:p>
        </w:tc>
        <w:tc>
          <w:tcPr>
            <w:tcW w:type="dxa" w:w="283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Растущий рынок перевозок</w:t>
            </w:r>
          </w:p>
        </w:tc>
      </w:tr>
      <w:tr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Транскаспийский маршрут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4–5 млн т, ×3–4 к 2030 (до 11 млн т)</w:t>
            </w:r>
          </w:p>
        </w:tc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Экспортные плечи через Актау (Каспий) и Китай</w:t>
            </w:r>
          </w:p>
        </w:tc>
      </w:tr>
      <w:tr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Дубай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Мировой торгово-финансовый центр, шлюз на Ближний Восток, Африку, Южную Азию</w:t>
            </w:r>
          </w:p>
        </w:tc>
        <w:tc>
          <w:tcPr>
            <w:tcW w:type="dxa" w:w="283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Рынки сбыта и торговое финансирование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Вывод: </w:t>
      </w:r>
      <w:r>
        <w:rPr>
          <w:b w:val="0"/>
          <w:i w:val="0"/>
          <w:color w:val="2A3746"/>
          <w:sz w:val="22"/>
        </w:rPr>
        <w:t>казахстанский агроэкспорт (масло, зерно) растёт двузначно, а группа уже владеет и логистикой, и трейдингом — осталось масштабировать цепочку и открыть международный сбыт через Дубай.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2. Стратегическая амбиция группы (2031)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3EC"/>
          </w:tcPr>
          <w:p>
            <w:r>
              <w:rPr>
                <w:b/>
                <w:color w:val="13294B"/>
                <w:sz w:val="21"/>
              </w:rPr>
              <w:t>Видение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WayStar Group — интегрированный лидер агро-экспортной логистики и трейдинга Казахстана и региона: от контракта с переработчиком до поставки на рынки Азии, Ближнего Востока и Африки, с цифровым контролем и международным центром в Дубае.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19"/>
              </w:rPr>
              <w:t>Сегодня</w:t>
            </w:r>
          </w:p>
        </w:tc>
        <w:tc>
          <w:tcPr>
            <w:tcW w:type="dxa" w:w="4195"/>
            <w:shd w:val="clear" w:fill="13294B"/>
          </w:tcPr>
          <w:p>
            <w:r>
              <w:rPr>
                <w:b/>
                <w:color w:val="FFFFFF"/>
                <w:sz w:val="19"/>
              </w:rPr>
              <w:t>Цель 2031</w:t>
            </w:r>
          </w:p>
        </w:tc>
      </w:tr>
      <w:tr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Оборот группы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база (подставить факт)</w:t>
            </w:r>
          </w:p>
        </w:tc>
        <w:tc>
          <w:tcPr>
            <w:tcW w:type="dxa" w:w="419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кратный рост за счёт трейдинга и Дубая</w:t>
            </w:r>
          </w:p>
        </w:tc>
      </w:tr>
      <w:tr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Трейдинг</w:t>
            </w:r>
          </w:p>
        </w:tc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масло/зерно, экспорт через Актау</w:t>
            </w:r>
          </w:p>
        </w:tc>
        <w:tc>
          <w:tcPr>
            <w:tcW w:type="dxa" w:w="419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масштаб контрактов + сбыт через Дубай на Ближний Восток/Африку/Ю. Азию</w:t>
            </w:r>
          </w:p>
        </w:tc>
      </w:tr>
      <w:tr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Дубай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—</w:t>
            </w:r>
          </w:p>
        </w:tc>
        <w:tc>
          <w:tcPr>
            <w:tcW w:type="dxa" w:w="419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действующий центр, оборот $50 млн (год 1) → рост</w:t>
            </w:r>
          </w:p>
        </w:tc>
      </w:tr>
      <w:tr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Логистика: парк</w:t>
            </w:r>
          </w:p>
        </w:tc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 собственных единиц</w:t>
            </w:r>
          </w:p>
        </w:tc>
        <w:tc>
          <w:tcPr>
            <w:tcW w:type="dxa" w:w="419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≈ 5 000 пищевых цистерн под управлением; развитие вагонного парка</w:t>
            </w:r>
          </w:p>
        </w:tc>
      </w:tr>
      <w:tr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Пищевые цистерны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нишевый игрок</w:t>
            </w:r>
          </w:p>
        </w:tc>
        <w:tc>
          <w:tcPr>
            <w:tcW w:type="dxa" w:w="419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№1 в пищевых наливных перевозках РК</w:t>
            </w:r>
          </w:p>
        </w:tc>
      </w:tr>
      <w:tr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Цифровые решения</w:t>
            </w:r>
          </w:p>
        </w:tc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внутренняя платформа</w:t>
            </w:r>
          </w:p>
        </w:tc>
        <w:tc>
          <w:tcPr>
            <w:tcW w:type="dxa" w:w="419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цифровой контроль всей цепочки; потенциально — продукт для рынка</w:t>
            </w:r>
          </w:p>
        </w:tc>
      </w:tr>
      <w:tr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Операционная маржа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базовая</w:t>
            </w:r>
          </w:p>
        </w:tc>
        <w:tc>
          <w:tcPr>
            <w:tcW w:type="dxa" w:w="419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рост за счёт интеграции, обратной загрузки и масштаба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3. Бизнес-модель: вертикальная интеграция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3F8"/>
          </w:tcPr>
          <w:p>
            <w:r>
              <w:rPr>
                <w:b/>
                <w:color w:val="13294B"/>
                <w:sz w:val="21"/>
              </w:rPr>
              <w:t>Цепочка создания стоимости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Закуп у переработчика (прямой контракт, прозрачная цена)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→ Мультимодальная логистика (собственный + привлечённый парк: цистерны, вагоны, зерновозы)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→ Экспорт до борта судна в порту Актау / отгрузка в Китай (Хоргос, Достык)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→ Международный трейдинг и сбыт через Дубай (Ближний Восток, Африка, Южная Азия)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→ Цифровой контроль и прослеживаемость на каждом этапе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Где создаётся стоимость. </w:t>
      </w:r>
      <w:r>
        <w:rPr>
          <w:b w:val="0"/>
          <w:color w:val="2A3746"/>
          <w:sz w:val="22"/>
        </w:rPr>
        <w:t>Трейдинг — оборот и доступ к марже товара; логистика — маржа перевозки и надёжность; цифра — эффективность и контроль. Интеграция даёт то, чего нет у отдельных игроков: единого ответственного и маржу на всей цепочке.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Синергия Казахстан ↔ Дубай. </w:t>
      </w:r>
      <w:r>
        <w:rPr>
          <w:b w:val="0"/>
          <w:color w:val="2A3746"/>
          <w:sz w:val="22"/>
        </w:rPr>
        <w:t>Казахстан — производство и логистика (низкая себестоимость, близость к сырью). Дубай — сбыт, валютная выручка и торговое финансирование (аккредитивы, доступ к капиталу).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Роль цифры. </w:t>
      </w:r>
      <w:r>
        <w:rPr>
          <w:b w:val="0"/>
          <w:color w:val="2A3746"/>
          <w:sz w:val="22"/>
        </w:rPr>
        <w:t>Платформа связывает дивизионы: планирование отгрузок, контроль груза, маржа на рейс и на сделку в реальном времени.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4. Где играем</w:t>
      </w:r>
    </w:p>
    <w:p>
      <w:pPr>
        <w:pStyle w:val="Heading2"/>
      </w:pPr>
      <w:r>
        <w:rPr>
          <w:rFonts w:ascii="Calibri" w:hAnsi="Calibri"/>
          <w:color w:val="2F6690"/>
        </w:rPr>
        <w:t>4.1. Товары и грузы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19"/>
              </w:rPr>
              <w:t>Группа</w:t>
            </w:r>
          </w:p>
        </w:tc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Динамика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Растительное масло (наливом)</w:t>
            </w:r>
          </w:p>
        </w:tc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Флагман трейдинга; перевозка пищевыми цистернами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+17,4% пр-во, +54% экспорт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Зерно и агрокультуры</w:t>
            </w:r>
          </w:p>
        </w:tc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Трейдинг + зерновозы (пшеница, ячмень, лён, масличные)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экспорт 15,3 млн т (+60%), 45 стран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Навалочные и инертные</w:t>
            </w:r>
          </w:p>
        </w:tc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Загрузка полувагонов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стабильный спрос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4.2. География и рынки сбыта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Производственная база: масличный и зерновой пояс Казахстана (Костанайская, СКО, Акмолинская, ВКО).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Экспортные ворота: порт Актау (Каспий), Хоргос/Достык (Китай), Транскаспийский маршрут.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Рынки сбыта через Дубай: Ближний Восток и Северная Африка, Восточная Африка, Южная Азия.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Внутренний рынок: перевозки по Казахстану и СНГ.</w:t>
      </w:r>
    </w:p>
    <w:p>
      <w:pPr>
        <w:pStyle w:val="Heading2"/>
      </w:pPr>
      <w:r>
        <w:rPr>
          <w:rFonts w:ascii="Calibri" w:hAnsi="Calibri"/>
          <w:color w:val="C4772F"/>
        </w:rPr>
        <w:t>4.3. Фокус (чтобы не распыляться)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Ядро — агро-товарные потоки (масло, зерно, масличные) и связанная с ними логистика. Новые продукты и рынки добавляем через Дубай, не размывая ядро. Логистика делает ставку на специализацию (пищевые цистерны, зерновозы), а не на весь генеральный груз.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5. Как побеждаем (источники преимущества)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Вертикальная интеграция. </w:t>
      </w:r>
      <w:r>
        <w:rPr>
          <w:b w:val="0"/>
          <w:color w:val="2A3746"/>
          <w:sz w:val="22"/>
        </w:rPr>
        <w:t>Единый ответственный за закуп, перевозку и поставку; контроль срока, цены, качества; маржа на всей цепочке — то, что покупатель не получит у разрозненных подрядчиков.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Собственный и привлечённый мультимодальный парк. </w:t>
      </w:r>
      <w:r>
        <w:rPr>
          <w:b w:val="0"/>
          <w:color w:val="2A3746"/>
          <w:sz w:val="22"/>
        </w:rPr>
        <w:t>Цистерны, вагоны, зерновозы + 200+ маршрутов → отгрузки под график судна и предсказуемые сроки.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Международный центр в Дубае. </w:t>
      </w:r>
      <w:r>
        <w:rPr>
          <w:b w:val="0"/>
          <w:color w:val="2A3746"/>
          <w:sz w:val="22"/>
        </w:rPr>
        <w:t>Доступ к рынкам сбыта, торговому финансированию (аккредитивы), валютной выручке и нейтральной юрисдикции.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Прямые контракты с переработчиками. </w:t>
      </w:r>
      <w:r>
        <w:rPr>
          <w:b w:val="0"/>
          <w:color w:val="2A3746"/>
          <w:sz w:val="22"/>
        </w:rPr>
        <w:t>Прозрачная цена без посредников — премия к доверию покупателя и к марже.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Цифровая платформа. </w:t>
      </w:r>
      <w:r>
        <w:rPr>
          <w:b w:val="0"/>
          <w:color w:val="2A3746"/>
          <w:sz w:val="22"/>
        </w:rPr>
        <w:t>Планирование, прослеживаемость, маржа на рейс и сделку — качество для клиента и управляемость для группы.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Специализация логистики. </w:t>
      </w:r>
      <w:r>
        <w:rPr>
          <w:b w:val="0"/>
          <w:color w:val="2A3746"/>
          <w:sz w:val="22"/>
        </w:rPr>
        <w:t>Пищевые цистерны (санитарные мойки, сертификация) и зерновозы — барьер входа и премия к тарифу.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6. Стратегические столпы и горизонты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Горизонт 1 (годы 1–2) — запуск Дубая и наведение порядка в ядре; Горизонт 2 (годы 3–4) — масштаб трейдинга и парка; Горизонт 3 (год 5+) — интегрированный региональный лидер.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Столп</w:t>
            </w:r>
          </w:p>
        </w:tc>
        <w:tc>
          <w:tcPr>
            <w:tcW w:type="dxa" w:w="5216"/>
            <w:shd w:val="clear" w:fill="13294B"/>
          </w:tcPr>
          <w:p>
            <w:r>
              <w:rPr>
                <w:b/>
                <w:color w:val="FFFFFF"/>
                <w:sz w:val="19"/>
              </w:rPr>
              <w:t>Что делаем</w:t>
            </w:r>
          </w:p>
        </w:tc>
        <w:tc>
          <w:tcPr>
            <w:tcW w:type="dxa" w:w="1020"/>
            <w:shd w:val="clear" w:fill="13294B"/>
          </w:tcPr>
          <w:p>
            <w:r>
              <w:rPr>
                <w:b/>
                <w:color w:val="FFFFFF"/>
                <w:sz w:val="19"/>
              </w:rPr>
              <w:t>Горизонт</w:t>
            </w:r>
          </w:p>
        </w:tc>
      </w:tr>
      <w:tr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1. Трейдинг-экспорт (флагман)</w:t>
            </w:r>
          </w:p>
        </w:tc>
        <w:tc>
          <w:tcPr>
            <w:tcW w:type="dxa" w:w="5216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Два потока — масло (наливом) и зерно/агрокультуры; масштаб контрактов; сбыт через Актау и Дубай</w:t>
            </w:r>
          </w:p>
        </w:tc>
        <w:tc>
          <w:tcPr>
            <w:tcW w:type="dxa" w:w="102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  <w:tr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2. Дубай — международный центр</w:t>
            </w:r>
          </w:p>
        </w:tc>
        <w:tc>
          <w:tcPr>
            <w:tcW w:type="dxa" w:w="5216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Офис логистика+трейдинг, оборот $50 млн (год 1); рынки Ближнего Востока/Африки/Ю. Азии, финансирование</w:t>
            </w:r>
          </w:p>
        </w:tc>
        <w:tc>
          <w:tcPr>
            <w:tcW w:type="dxa" w:w="102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</w:t>
            </w:r>
          </w:p>
        </w:tc>
      </w:tr>
      <w:tr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3. Логистика и парк</w:t>
            </w:r>
          </w:p>
        </w:tc>
        <w:tc>
          <w:tcPr>
            <w:tcW w:type="dxa" w:w="5216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Мультимодальный парк; пищевые цистерны 20 → 5 000; зерновозы; собственный + привлечённый</w:t>
            </w:r>
          </w:p>
        </w:tc>
        <w:tc>
          <w:tcPr>
            <w:tcW w:type="dxa" w:w="102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  <w:tr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4. Цифровые решения</w:t>
            </w:r>
          </w:p>
        </w:tc>
        <w:tc>
          <w:tcPr>
            <w:tcW w:type="dxa" w:w="5216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Платформа планирования и контроля; маржа на рейс/сделку; потенциальный продукт</w:t>
            </w:r>
          </w:p>
        </w:tc>
        <w:tc>
          <w:tcPr>
            <w:tcW w:type="dxa" w:w="102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  <w:tr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5. Финансовый двигатель</w:t>
            </w:r>
          </w:p>
        </w:tc>
        <w:tc>
          <w:tcPr>
            <w:tcW w:type="dxa" w:w="5216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Торговое финансирование (аккредитивы), лизинг парка, Банк развития/агро, капитал Дубая</w:t>
            </w:r>
          </w:p>
        </w:tc>
        <w:tc>
          <w:tcPr>
            <w:tcW w:type="dxa" w:w="102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  <w:tr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6. Люди и управление</w:t>
            </w:r>
          </w:p>
        </w:tc>
        <w:tc>
          <w:tcPr>
            <w:tcW w:type="dxa" w:w="5216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Международная команда; система мотивации 75/25 и операционная модель</w:t>
            </w:r>
          </w:p>
        </w:tc>
        <w:tc>
          <w:tcPr>
            <w:tcW w:type="dxa" w:w="102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7. Дубай — международный центр (ход этого года)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3F8"/>
          </w:tcPr>
          <w:p>
            <w:r>
              <w:rPr>
                <w:b/>
                <w:color w:val="2F6690"/>
                <w:sz w:val="21"/>
              </w:rPr>
              <w:t>Роль Дубая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Торговый деск: сбыт казахстанского масла и зерна на Ближний Восток, Африку, Южную Азию.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Финансовый центр: аккредитивы, торговое финансирование, валютная выручка, доступ к капиталу.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Витрина группы: нейтральная юрисдикция и репутация для международных контрагентов.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1</w:t>
            </w:r>
          </w:p>
        </w:tc>
        <w:tc>
          <w:tcPr>
            <w:tcW w:type="dxa" w:w="4309"/>
            <w:shd w:val="clear" w:fill="13294B"/>
          </w:tcPr>
          <w:p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Оборот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$50 млн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Преимущественно трейдинг (масло, зерно)</w:t>
            </w:r>
          </w:p>
        </w:tc>
      </w:tr>
      <w:tr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Модель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Логистика + трейдинг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Продаём то, что группа производит/везёт из Казахстана</w:t>
            </w:r>
          </w:p>
        </w:tc>
      </w:tr>
      <w:tr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Команда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Компактная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Трейдеры + финансирование + бэк-офис</w:t>
            </w:r>
          </w:p>
        </w:tc>
      </w:tr>
      <w:tr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Юрисдикция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Свободная зона Дубая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Налоговые и валютные преимущества</w:t>
            </w:r>
          </w:p>
        </w:tc>
      </w:tr>
      <w:tr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Синергия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Казахстан ↔ Дубай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КЗ — сырьё и логистика; Дубай — сбыт и деньги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Осторожно (консультант): </w:t>
      </w:r>
      <w:r>
        <w:rPr>
          <w:b w:val="0"/>
          <w:i w:val="0"/>
          <w:color w:val="2A3746"/>
          <w:sz w:val="22"/>
        </w:rPr>
        <w:t>$50 млн — это оборот, а не прибыль. Маржа трейдинга тонкая (обычно единицы процентов) и требует оборотного капитала и управления риском цены и контрагента. Успех Дубая = торговое финансирование + хеджирование + надёжная логистика группы, а не только объём сделок.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8. Финансовая рамка (иллюстративно — заменить на факт)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Разделяем оборот и валовую прибыль: трейдинг наращивает оборот при тонкой марже, логистика и цифра дают маржу. Управляем по валовой прибыли.</w:t>
      </w:r>
    </w:p>
    <w:p>
      <w:pPr>
        <w:pStyle w:val="Heading2"/>
      </w:pPr>
      <w:r>
        <w:rPr>
          <w:rFonts w:ascii="Calibri" w:hAnsi="Calibri"/>
          <w:color w:val="2F6690"/>
        </w:rPr>
        <w:t>8.1. Оборот по дивизионам, $ млн (иллюстративно; Дубай год 1 — заданная цель)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35"/>
            <w:shd w:val="clear" w:fill="13294B"/>
          </w:tcPr>
          <w:p>
            <w:r>
              <w:rPr>
                <w:b/>
                <w:color w:val="FFFFFF"/>
                <w:sz w:val="19"/>
              </w:rPr>
              <w:t>Дивизион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Тек.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1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2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3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4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5</w:t>
            </w:r>
          </w:p>
        </w:tc>
      </w:tr>
      <w:tr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Логистика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55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75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130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165</w:t>
            </w:r>
          </w:p>
        </w:tc>
      </w:tr>
      <w:tr>
        <w:tc>
          <w:tcPr>
            <w:tcW w:type="dxa" w:w="283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Трейдинг (Казахстан)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55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70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95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150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185</w:t>
            </w:r>
          </w:p>
        </w:tc>
      </w:tr>
      <w:tr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— из них Дубай (новый)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210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280</w:t>
            </w:r>
          </w:p>
        </w:tc>
      </w:tr>
      <w:tr>
        <w:tc>
          <w:tcPr>
            <w:tcW w:type="dxa" w:w="283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Цифровые решения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3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5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18</w:t>
            </w:r>
          </w:p>
        </w:tc>
      </w:tr>
      <w:tr>
        <w:tc>
          <w:tcPr>
            <w:tcW w:type="dxa" w:w="2835"/>
            <w:shd w:val="clear" w:fill="F1F5F9"/>
          </w:tcPr>
          <w:p>
            <w:r>
              <w:rPr>
                <w:b/>
                <w:color w:val="2A3746"/>
                <w:sz w:val="17"/>
              </w:rPr>
              <w:t>Оборот группы (с Дубаем)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/>
                <w:color w:val="2A3746"/>
                <w:sz w:val="17"/>
              </w:rPr>
              <w:t>~97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/>
                <w:color w:val="2A3746"/>
                <w:sz w:val="17"/>
              </w:rPr>
              <w:t>~178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/>
                <w:color w:val="2A3746"/>
                <w:sz w:val="17"/>
              </w:rPr>
              <w:t>~275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/>
                <w:color w:val="2A3746"/>
                <w:sz w:val="17"/>
              </w:rPr>
              <w:t>~378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/>
                <w:color w:val="2A3746"/>
                <w:sz w:val="17"/>
              </w:rPr>
              <w:t>~502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/>
                <w:color w:val="2A3746"/>
                <w:sz w:val="17"/>
              </w:rPr>
              <w:t>~648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8.2. Ориентиры маржи и парка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969"/>
            <w:shd w:val="clear" w:fill="13294B"/>
          </w:tcPr>
          <w:p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9"/>
              </w:rPr>
              <w:t>Тек.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3</w:t>
            </w:r>
          </w:p>
        </w:tc>
        <w:tc>
          <w:tcPr>
            <w:tcW w:type="dxa" w:w="2160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5</w:t>
            </w:r>
          </w:p>
        </w:tc>
      </w:tr>
      <w:tr>
        <w:tc>
          <w:tcPr>
            <w:tcW w:type="dxa" w:w="396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Валовая маржа группы (блендед), 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~10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~12</w:t>
            </w:r>
          </w:p>
        </w:tc>
        <w:tc>
          <w:tcPr>
            <w:tcW w:type="dxa" w:w="216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~14</w:t>
            </w:r>
          </w:p>
        </w:tc>
      </w:tr>
      <w:tr>
        <w:tc>
          <w:tcPr>
            <w:tcW w:type="dxa" w:w="396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Операционная маржа, 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~6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~9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~12</w:t>
            </w:r>
          </w:p>
        </w:tc>
      </w:tr>
      <w:tr>
        <w:tc>
          <w:tcPr>
            <w:tcW w:type="dxa" w:w="396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Парк пищевых цистерн (под управл.)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1 300</w:t>
            </w:r>
          </w:p>
        </w:tc>
        <w:tc>
          <w:tcPr>
            <w:tcW w:type="dxa" w:w="216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5 000</w:t>
            </w:r>
          </w:p>
        </w:tc>
      </w:tr>
      <w:tr>
        <w:tc>
          <w:tcPr>
            <w:tcW w:type="dxa" w:w="396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Доля экспортной выручки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средняя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высокая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высокая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6B7A8D"/>
          <w:sz w:val="18"/>
        </w:rPr>
        <w:t>Числа иллюстративны и служат каркасом модели; заменить на фактические оборот, юнит-экономику цистерны, маржу трейдинга и ставки финансирования. Заданная точка — оборот Дубая $50 млн в год 1.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9. Риски и их снятие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type="dxa" w:w="1474"/>
            <w:shd w:val="clear" w:fill="13294B"/>
          </w:tcPr>
          <w:p>
            <w:r>
              <w:rPr>
                <w:b/>
                <w:color w:val="FFFFFF"/>
                <w:sz w:val="19"/>
              </w:rPr>
              <w:t>Влияние</w:t>
            </w:r>
          </w:p>
        </w:tc>
        <w:tc>
          <w:tcPr>
            <w:tcW w:type="dxa" w:w="4309"/>
            <w:shd w:val="clear" w:fill="13294B"/>
          </w:tcPr>
          <w:p>
            <w:r>
              <w:rPr>
                <w:b/>
                <w:color w:val="FFFFFF"/>
                <w:sz w:val="19"/>
              </w:rPr>
              <w:t>Как снимаем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Оборотный капитал и цена товара (трейдинг)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Критическое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Торговое финансирование (аккредитивы), хеджирование, лимиты на сделку и контрагента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Запуск Дубая (новый рынок, команда)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Высокое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Опытные трейдеры, поэтапный старт, комплаенс, надёжная логистика группы как преимущество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Капитал на парк + оборотку одновременно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Высокое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Разделить источники: лизинг для парка, торговое финансирование для трейдинга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Узкие места коридора / порт Актау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Среднее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Диверсификация маршрутов (Китай, Каспий), партнёрства с портом/паромами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Дефицит водителей и инфраструктуры (мойки)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Высокое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Ранний набор, строительство моек с опережением, оплата 75/25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Валюта и ставки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Среднее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Валютная выручка Дубая, фиксация лизинга, хеджирование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Распыление на 3 дивизиона + новая страна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Высокое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6"/>
              </w:rPr>
              <w:t>Чёткие приоритеты по горизонтам, единая операционная модель, управление по валовой прибыли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Зависимость от нескольких переработчиков/клиентов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Среднее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6"/>
              </w:rPr>
              <w:t>Диверсификация контрактов и товарных групп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10. Дорожная карта (по горизонтам)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3F8"/>
          </w:tcPr>
          <w:p>
            <w:r>
              <w:rPr>
                <w:b/>
                <w:color w:val="2F6690"/>
                <w:sz w:val="21"/>
              </w:rPr>
              <w:t>Горизонт 1 · Годы 1–2 · «Дубай и ядро»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Открыть и вывести на оборот $50 млн центр в Дубае (трейдинг масла/зерна).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Навести порядок в управлении (роли, ритм, панель показателей, владелец выручки).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Настроить торговое финансирование (аккредитивы) и лизинг парка.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Парк пищевых цистерн 20 → ~450; развитие зерновозов; запуск цифровой платформы на всю цепочку.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3F8"/>
          </w:tcPr>
          <w:p>
            <w:r>
              <w:rPr>
                <w:b/>
                <w:color w:val="2F6690"/>
                <w:sz w:val="21"/>
              </w:rPr>
              <w:t>Горизонт 2 · Годы 3–4 · «Масштаб»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Масштаб трейдинга и направлений сбыта (Ближний Восток, Африка, Южная Азия).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Парк цистерн ~450 → ~2 800; партнёрская сеть; сеть моек и сервиса.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Покупка 1–2 региональных перевозчиков; расширение вагонного парка.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Цифровая платформа — контроль всей цепочки, маржа на сделку и рейс.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3EC"/>
          </w:tcPr>
          <w:p>
            <w:r>
              <w:rPr>
                <w:b/>
                <w:color w:val="2E7D46"/>
                <w:sz w:val="21"/>
              </w:rPr>
              <w:t>Горизонт 3 · Год 5 · «Интегрированный лидер»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Оборот группы кратно выше базы; операционная маржа ~12%.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№1 в пищевых наливных перевозках РК; Дубай — полноценный торгово-финансовый центр.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Готовность к следующему циклу: новые рынки, привлечение стратегического капитала.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3294B"/>
        </w:rPr>
        <w:t>11. Как управляем стратегией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Панель группы. </w:t>
      </w:r>
      <w:r>
        <w:rPr>
          <w:b w:val="0"/>
          <w:color w:val="2A3746"/>
          <w:sz w:val="22"/>
        </w:rPr>
        <w:t>Оборот и валовая прибыль по дивизионам, маржа сделки/рейса, парк, оборотный капитал, экспортная выручка, Дубай. Ежемесячно.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Ритм. </w:t>
      </w:r>
      <w:r>
        <w:rPr>
          <w:b w:val="0"/>
          <w:color w:val="2A3746"/>
          <w:sz w:val="22"/>
        </w:rPr>
        <w:t>Ежеквартальный стратегический разбор совета; годовая переоценка целей и капитала; связь с операционной моделью управления.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Связь с мотивацией. </w:t>
      </w:r>
      <w:r>
        <w:rPr>
          <w:b w:val="0"/>
          <w:color w:val="2A3746"/>
          <w:sz w:val="22"/>
        </w:rPr>
        <w:t>Цели по прибыли и марже каскадируются в систему 75/25 — стратегия доходит до каждой сделки и рейса.</w:t>
      </w:r>
    </w:p>
    <w:p>
      <w:pPr>
        <w:pStyle w:val="Heading2"/>
      </w:pPr>
      <w:r>
        <w:rPr>
          <w:rFonts w:ascii="Calibri" w:hAnsi="Calibri"/>
          <w:color w:val="6B7A8D"/>
        </w:rPr>
        <w:t>Источники (открытые данные)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Растительное масло (пр-во +17,4%, экспорт $944 млн +54%, №2 в Китай) — UkrAgroConsult, APK-Inform, Astana Times.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Агроэкспорт РК $7 млрд; зерно/мука — экспорт 15,3 млн т (+60%), урожай 25,9 млн т — Astana Times, APK-Inform, Grain Union РК.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Переработка масличных (мощности &gt;5,2 млн т/год, ~90 заводов; рост крашинга) — UkrAgroConsult, APK-Inform.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Логистика РК и Транскаспийский маршрут — Mordor Intelligence, Caspian News, Railway News, Carnegie.</w:t>
      </w:r>
    </w:p>
    <w:p>
      <w:pPr>
        <w:spacing w:after="120" w:before="120"/>
      </w:pPr>
      <w:r>
        <w:rPr>
          <w:b/>
          <w:i w:val="0"/>
          <w:color w:val="C4772F"/>
          <w:sz w:val="18"/>
        </w:rPr>
        <w:t xml:space="preserve">Примечание. </w:t>
      </w:r>
      <w:r>
        <w:rPr>
          <w:b w:val="0"/>
          <w:i w:val="0"/>
          <w:color w:val="6B7A8D"/>
          <w:sz w:val="18"/>
        </w:rPr>
        <w:t>Проект стратегии группы для совета. Финансовые значения (кроме заданной цели по обороту Дубая) иллюстративны и подлежат замене на факт. Дополняет систему мотивации 75/25 и операционную модель управления.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A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