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F6690"/>
          <w:sz w:val="26"/>
        </w:rPr>
        <w:t>KazBioFert · QazBioFert</w:t>
      </w:r>
    </w:p>
    <w:p>
      <w:pPr>
        <w:pStyle w:val="Title"/>
      </w:pPr>
      <w:r>
        <w:rPr>
          <w:rFonts w:ascii="Calibri" w:hAnsi="Calibri"/>
          <w:color w:val="13294B"/>
        </w:rPr>
        <w:t>Маркетинговая стратегия</w:t>
      </w:r>
    </w:p>
    <w:p>
      <w:pPr>
        <w:spacing w:after="200"/>
      </w:pPr>
      <w:r>
        <w:rPr>
          <w:b w:val="0"/>
          <w:i w:val="0"/>
          <w:color w:val="6B7A8D"/>
          <w:sz w:val="22"/>
        </w:rPr>
        <w:t>Портрет клиента · Сообщения · Каналы · Контент-план · Воронка · Реклама · Одностраничная стратегия</w:t>
      </w:r>
    </w:p>
    <w:p>
      <w:pPr>
        <w:spacing w:after="120"/>
      </w:pPr>
      <w:r>
        <w:rPr>
          <w:b/>
          <w:i w:val="0"/>
          <w:color w:val="C4772F"/>
          <w:sz w:val="22"/>
        </w:rPr>
        <w:t xml:space="preserve">О бизнесе. </w:t>
      </w:r>
      <w:r>
        <w:rPr>
          <w:b w:val="0"/>
          <w:i w:val="0"/>
          <w:color w:val="2A3746"/>
          <w:sz w:val="22"/>
        </w:rPr>
        <w:t>KazBioFert / QazBioFert — казахстанский производитель гранулированных органоминеральных удобрений (ОМУ) NPK 12-12-12 и NP 8-21, завод в Костанайской области, мощность ≈80 тыс т/год. Продукт на основе переработки сельхозотходов: 40% органического вещества, гуминовые и фульвовые кислоты, без патогенов и семян сорняков; вносится за один проход при посеве. Полевые опыты: +19–25% урожайности на 3 культурах, заключение НПЦЗХ им. А.И. Бараева, эффективность 1:3 (ФАО), восстановление почвы +2% плодородного слоя в год. Цена ≈$500/т против импортных ≈$630/т. Побочно — биогаз/электроэнергия и углеродные единицы.</w:t>
      </w:r>
    </w:p>
    <w:p>
      <w:pPr>
        <w:spacing w:after="120"/>
      </w:pPr>
      <w:r>
        <w:rPr>
          <w:b/>
          <w:i w:val="0"/>
          <w:color w:val="C4772F"/>
          <w:sz w:val="22"/>
        </w:rPr>
        <w:t xml:space="preserve">Допущения (поправьте под себя): </w:t>
      </w:r>
      <w:r>
        <w:rPr>
          <w:b w:val="0"/>
          <w:i w:val="0"/>
          <w:color w:val="6B7A8D"/>
          <w:sz w:val="22"/>
        </w:rPr>
        <w:t>1) сегмент №1 — зерновые агрохолдинги и крупные/средние хозяйства зернового пояса РК (Костанайская, Акмолинская, СКО), ЛПР = собственник/директор + главный агроном; дистрибьюторы — партнёрский канал. 2) рекламный бюджет — ₸4–5 млн/мес (~$8–10 тыс). 3) цена ≈₸270–300 тыс/т.</w:t>
      </w:r>
    </w:p>
    <w:p>
      <w:pPr>
        <w:pStyle w:val="Heading1"/>
      </w:pPr>
      <w:r>
        <w:rPr>
          <w:rFonts w:ascii="Calibri" w:hAnsi="Calibri"/>
          <w:color w:val="13294B"/>
        </w:rPr>
        <w:t>Промпт 1. Портрет идеального клиента (ICP)</w:t>
      </w:r>
    </w:p>
    <w:p>
      <w:pPr>
        <w:pStyle w:val="Heading2"/>
      </w:pPr>
      <w:r>
        <w:rPr>
          <w:rFonts w:ascii="Calibri" w:hAnsi="Calibri"/>
          <w:color w:val="2F6690"/>
        </w:rPr>
        <w:t>Демография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Роль ЛПР: собственник/директор растениеводческого хозяйства (КХ/ТОО) или агрохолдинга; со-ЛПР — главный агроном (технический привратник и чемпион продукта).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Размер: 5 000–50 000+ га; культуры — яровая пшеница, ячмень, масличные.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География: Костанайская, Акмолинская, СКО; вторично — Туркестанская (юг, орошаемое).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Возраст: ЛПР 42–58, агроном 35–55; преимущественно мужчины.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Образование/опыт: агрономическое/экономическое, 15+ лет в поле.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Финансы: оборот от сотен млн до млрд ₸/год; зависят от субсидий.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Тех. уровень: уже применяют минеральные удобрения (аммофос, селитра, NPK), закупают к посевной.</w:t>
      </w:r>
    </w:p>
    <w:p>
      <w:pPr>
        <w:pStyle w:val="Heading2"/>
      </w:pPr>
      <w:r>
        <w:rPr>
          <w:rFonts w:ascii="Calibri" w:hAnsi="Calibri"/>
          <w:color w:val="2F6690"/>
        </w:rPr>
        <w:t>Психографика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Ценности: рентабельность с гектара, стабильность, сохранение плодородия как долгосрочного актива, независимость от импорта и валюты, «казахстанское — своё».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Характер: консервативны, практичны; верят доказанному в поле и мнению коллег; скептичны к «новинкам» и «биопрепаратам».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Мотивация: больше зерна с га при контролируемых затратах, окупить каждый тенге, не «убить» землю.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Страхи: заплатить за то, что «не сработает»; деградация почвы; рост цен на импорт; срыв поставки в посевную.</w:t>
      </w:r>
    </w:p>
    <w:p>
      <w:pPr>
        <w:pStyle w:val="Heading2"/>
      </w:pPr>
      <w:r>
        <w:rPr>
          <w:rFonts w:ascii="Calibri" w:hAnsi="Calibri"/>
          <w:color w:val="2F6690"/>
        </w:rPr>
        <w:t>Ежедневные разочарования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Импортные удобрения дорожают с курсом доллара (аммофос/DAP в 2026 — до ~$720/т на фоне Ормуза).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Дефицит и очереди в посевную, срывы поставок.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Истощение почв: падает гумус, растёт засоление; минеральные «жгут» землю вдолгую.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Низкая и непредсказуемая маржа с гектара; субсидии — с бюрократией.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Дорогая логистика доставки в регион.</w:t>
      </w:r>
    </w:p>
    <w:p>
      <w:pPr>
        <w:pStyle w:val="Heading2"/>
      </w:pPr>
      <w:r>
        <w:rPr>
          <w:rFonts w:ascii="Calibri" w:hAnsi="Calibri"/>
          <w:color w:val="2F6690"/>
        </w:rPr>
        <w:t>Что уже пробовали и почему не сработало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Импортные минеральные NPK/аммофос — дорого, валютозависимо, истощают органику почвы.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Дешёвые «биоудобрения»/стимуляторы — пустышки без стабильного состава → недоверие ко всей «органике».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Навоз/своя органика — трудоёмко, непредсказуемо, семена сорняков и патогены.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Снижение норм ради экономии — падает урожай.</w:t>
      </w:r>
    </w:p>
    <w:p>
      <w:pPr>
        <w:pStyle w:val="Heading2"/>
      </w:pPr>
      <w:r>
        <w:rPr>
          <w:rFonts w:ascii="Calibri" w:hAnsi="Calibri"/>
          <w:color w:val="2F6690"/>
        </w:rPr>
        <w:t>Что они хотели бы, чтобы существовало</w:t>
      </w:r>
    </w:p>
    <w:p>
      <w:pPr>
        <w:spacing w:after="120"/>
      </w:pPr>
      <w:r>
        <w:rPr>
          <w:b w:val="0"/>
          <w:i/>
          <w:color w:val="2A3746"/>
          <w:sz w:val="22"/>
        </w:rPr>
        <w:t>«Удобрение, которое даёт урожай как минеральное, но восстанавливает почву, дешевле импорта, с гарантированным составом NPK, в тенге, приезжает к посевной и вносится за один проход». Это и есть ОМУ KazBioFert.</w:t>
      </w:r>
    </w:p>
    <w:p>
      <w:pPr>
        <w:pStyle w:val="Heading2"/>
      </w:pPr>
      <w:r>
        <w:rPr>
          <w:rFonts w:ascii="Calibri" w:hAnsi="Calibri"/>
          <w:color w:val="2F6690"/>
        </w:rPr>
        <w:t>Где проводят время онлайн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WhatsApp/Telegram — рабочие и областные группы аграриев, чаты дистрибьюторов, отраслевые каналы (ElDala, АПК-новости).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YouTube — полевые опыты, техника, агроблогеры.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Порталы — ElDala.kz, APK News, Zerno.kz, сайты Минсельхоза/субсидий.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Instagram — агрохолдинги и дилеры (визуальные кейсы).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Оффлайн (критично): полевые дни, выставки AgriTek/KazAgro Astana, сарафан между директорами.</w:t>
      </w:r>
    </w:p>
    <w:p>
      <w:pPr>
        <w:pStyle w:val="Heading2"/>
      </w:pPr>
      <w:r>
        <w:rPr>
          <w:rFonts w:ascii="Calibri" w:hAnsi="Calibri"/>
          <w:color w:val="2F6690"/>
        </w:rPr>
        <w:t>Какими словами описывают проблему</w:t>
      </w:r>
    </w:p>
    <w:p>
      <w:pPr>
        <w:spacing w:after="120"/>
      </w:pPr>
      <w:r>
        <w:rPr>
          <w:b w:val="0"/>
          <w:i/>
          <w:color w:val="2A3746"/>
          <w:sz w:val="22"/>
        </w:rPr>
        <w:t>«Удобрения дорожают, а зерно дешевеет», «земля устала / выпаханная», «гумус падает», «аммофос золотой стал», «доллар скакнул — удобрения не купить», «лишь бы до посевной завезли», «нужно вытянуть урожай», «окупить вход», «дайте подешевле, но чтоб работало».</w:t>
      </w:r>
    </w:p>
    <w:p>
      <w:pPr>
        <w:pStyle w:val="Heading2"/>
      </w:pPr>
      <w:r>
        <w:rPr>
          <w:rFonts w:ascii="Calibri" w:hAnsi="Calibri"/>
          <w:color w:val="2F6690"/>
        </w:rPr>
        <w:t>Что заставит купить немедленно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Полевой опыт в его регионе / на его культуре (+19–25%) + заключение НПЦЗХ им. Бараева.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Отзыв уважаемого коллеги-директора.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Цена ниже импорта + фиксация в тенге + гарантия поставки к посевной.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Бесплатная демо-партия / опыт на его поле — «риск ноль».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Субсидируемость.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Внесение за один проход при посеве.</w:t>
      </w:r>
    </w:p>
    <w:p>
      <w:pPr>
        <w:pStyle w:val="Heading2"/>
      </w:pPr>
      <w:r>
        <w:rPr>
          <w:rFonts w:ascii="Calibri" w:hAnsi="Calibri"/>
          <w:color w:val="C4772F"/>
        </w:rPr>
        <w:t>Абзац-резюме (фундамент всего маркетинга)</w:t>
      </w:r>
    </w:p>
    <w:p>
      <w:pPr>
        <w:spacing w:after="120"/>
      </w:pPr>
      <w:r>
        <w:rPr>
          <w:b w:val="0"/>
          <w:i w:val="0"/>
          <w:color w:val="2A3746"/>
          <w:sz w:val="22"/>
        </w:rPr>
        <w:t xml:space="preserve">Наш идеальный клиент — собственник или главный агроном крупного зернового хозяйства в Костанайской, Акмолинской или СКО, который каждый сезон борется сразу с двумя вещами: дорожающими импортными удобрениями, привязанными к доллару, и медленно истощающейся землёй, теряющей гумус. Он уже пробовал импортные минеральные NPK («дорого и жжёт почву») и дешёвые биопрепараты («пустышки без состава») и больше не верит обещаниям — верит только результату у себя в поле и слову коллеги. Он мечтает об удобрении, которое даст урожай как минеральное, но оздоровит землю, будет дешевле импорта, в тенге и гарантированно приедет к посевной. </w:t>
      </w:r>
      <w:r>
        <w:rPr>
          <w:b/>
          <w:i w:val="0"/>
          <w:color w:val="13294B"/>
          <w:sz w:val="22"/>
        </w:rPr>
        <w:t>KazBioFert — это именно оно</w:t>
      </w:r>
      <w:r>
        <w:rPr>
          <w:b w:val="0"/>
          <w:i w:val="0"/>
          <w:color w:val="2A3746"/>
          <w:sz w:val="22"/>
        </w:rPr>
        <w:t>: казахстанское ОМУ, дающее в опытах +19–25% урожая (НПЦЗХ им. Бараева), восстанавливающее почву и на ~20–25% дешевле импорта. Всё сообщение: «Больше зерна с гектара, живая земля и предсказуемая цена — без импорта».</w:t>
      </w:r>
    </w:p>
    <w:p>
      <w:pPr>
        <w:pStyle w:val="Heading1"/>
      </w:pPr>
      <w:r>
        <w:rPr>
          <w:rFonts w:ascii="Calibri" w:hAnsi="Calibri"/>
          <w:color w:val="13294B"/>
        </w:rPr>
        <w:t>Промпт 2. Стратегия сообщений</w:t>
      </w:r>
    </w:p>
    <w:p>
      <w:pPr>
        <w:pStyle w:val="Heading2"/>
      </w:pPr>
      <w:r>
        <w:rPr>
          <w:rFonts w:ascii="Calibri" w:hAnsi="Calibri"/>
          <w:color w:val="2F6690"/>
        </w:rPr>
        <w:t>Основное сообщение бренда</w:t>
      </w:r>
    </w:p>
    <w:p>
      <w:pPr>
        <w:spacing w:after="120"/>
      </w:pPr>
      <w:r>
        <w:rPr>
          <w:b/>
          <w:i w:val="0"/>
          <w:color w:val="13294B"/>
          <w:sz w:val="22"/>
        </w:rPr>
        <w:t>«Урожай как от минерального удобрения — с заботой о земле и по цене ниже импорта. Казахстанское ОМУ KazBioFert.»</w:t>
      </w:r>
    </w:p>
    <w:p>
      <w:pPr>
        <w:pStyle w:val="Heading2"/>
      </w:pPr>
      <w:r>
        <w:rPr>
          <w:rFonts w:ascii="Calibri" w:hAnsi="Calibri"/>
          <w:color w:val="2F6690"/>
        </w:rPr>
        <w:t>Уникальное торговое предложение (УТП)</w:t>
      </w:r>
    </w:p>
    <w:p>
      <w:pPr>
        <w:spacing w:after="120"/>
      </w:pPr>
      <w:r>
        <w:rPr>
          <w:b w:val="0"/>
          <w:i w:val="0"/>
          <w:color w:val="2A3746"/>
          <w:sz w:val="22"/>
        </w:rPr>
        <w:t>Единственное в Казахстане гранулированное ОМУ, которое в полевых опытах даёт +19–25% урожайности как минеральное, при этом восстанавливает почву (+2% гумуса/год) и стоит на ~20–25% дешевле импортных комплексных аналогов — с ценой в тенге и гарантией поставки к посевной.</w:t>
      </w:r>
    </w:p>
    <w:p>
      <w:pPr>
        <w:spacing w:after="120"/>
      </w:pPr>
      <w:r>
        <w:rPr>
          <w:b/>
          <w:i w:val="0"/>
          <w:color w:val="C4772F"/>
          <w:sz w:val="22"/>
        </w:rPr>
        <w:t xml:space="preserve">Три опоры: </w:t>
      </w:r>
      <w:r>
        <w:rPr>
          <w:b w:val="0"/>
          <w:i w:val="0"/>
          <w:color w:val="2A3746"/>
          <w:sz w:val="22"/>
        </w:rPr>
        <w:t>урожай (как минеральное) · земля (оздоровление) · цена/надёжность (дешевле импорта, в тенге, к сроку).</w:t>
      </w:r>
    </w:p>
    <w:p>
      <w:pPr>
        <w:pStyle w:val="Heading2"/>
      </w:pPr>
      <w:r>
        <w:rPr>
          <w:rFonts w:ascii="Calibri" w:hAnsi="Calibri"/>
          <w:color w:val="2F6690"/>
        </w:rPr>
        <w:t>3 слогана под контексты</w:t>
      </w:r>
    </w:p>
    <w:p>
      <w:pPr>
        <w:pStyle w:val="ListNumber"/>
        <w:spacing w:after="60"/>
      </w:pPr>
      <w:r>
        <w:rPr>
          <w:color w:val="2A3746"/>
          <w:sz w:val="22"/>
        </w:rPr>
        <w:t>Имиджевый (билборд): «Больше урожай. Живая земля.»</w:t>
      </w:r>
    </w:p>
    <w:p>
      <w:pPr>
        <w:pStyle w:val="ListNumber"/>
        <w:spacing w:after="60"/>
      </w:pPr>
      <w:r>
        <w:rPr>
          <w:color w:val="2A3746"/>
          <w:sz w:val="22"/>
        </w:rPr>
        <w:t>Доказательный (полевой день, агроном): «+19–25% к урожаю — заключение НПЦЗХ им. Бараева.»</w:t>
      </w:r>
    </w:p>
    <w:p>
      <w:pPr>
        <w:pStyle w:val="ListNumber"/>
        <w:spacing w:after="60"/>
      </w:pPr>
      <w:r>
        <w:rPr>
          <w:color w:val="2A3746"/>
          <w:sz w:val="22"/>
        </w:rPr>
        <w:t>Импортозамещение (ЛПР-экономист): «Казахстанское ОМУ — вместо дорогого импорта.»</w:t>
      </w:r>
    </w:p>
    <w:p>
      <w:pPr>
        <w:pStyle w:val="Heading2"/>
      </w:pPr>
      <w:r>
        <w:rPr>
          <w:rFonts w:ascii="Calibri" w:hAnsi="Calibri"/>
          <w:color w:val="2F6690"/>
        </w:rPr>
        <w:t>Эмоциональные триггеры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Страх потерять землю — «не выпахать» поле, оставить его сильным наследникам.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Тревога валютной зависимости — усталость от «удобрений по курсу доллара».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Гордость за своё — импортозамещение как госприоритет.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Жажда рентабельности с гектара — не «удобрение», а «+тонны и прибыль».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Доверие через науку и коллег — НПЦЗХ, полевые опыты, слово соседа.</w:t>
      </w:r>
    </w:p>
    <w:p>
      <w:pPr>
        <w:pStyle w:val="Heading2"/>
      </w:pPr>
      <w:r>
        <w:rPr>
          <w:rFonts w:ascii="Calibri" w:hAnsi="Calibri"/>
          <w:color w:val="2F6690"/>
        </w:rPr>
        <w:t>Возражения и ответы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13294B"/>
          </w:tcPr>
          <w:p>
            <w:r>
              <w:rPr>
                <w:b/>
                <w:color w:val="FFFFFF"/>
                <w:sz w:val="20"/>
              </w:rPr>
              <w:t>Возражение</w:t>
            </w:r>
          </w:p>
        </w:tc>
        <w:tc>
          <w:tcPr>
            <w:tcW w:type="dxa" w:w="5953"/>
            <w:shd w:val="clear" w:fill="13294B"/>
          </w:tcPr>
          <w:p>
            <w:r>
              <w:rPr>
                <w:b/>
                <w:color w:val="FFFFFF"/>
                <w:sz w:val="20"/>
              </w:rPr>
              <w:t>Ответ в маркетинге</w:t>
            </w:r>
          </w:p>
        </w:tc>
      </w:tr>
      <w:tr>
        <w:tc>
          <w:tcPr>
            <w:tcW w:type="dxa" w:w="3402"/>
            <w:shd w:val="clear" w:fill="F1F5F9"/>
          </w:tcPr>
          <w:p>
            <w:r>
              <w:rPr>
                <w:color w:val="2A3746"/>
                <w:sz w:val="19"/>
              </w:rPr>
              <w:t>«Органика — несерьёзно, нужна химия»</w:t>
            </w:r>
          </w:p>
        </w:tc>
        <w:tc>
          <w:tcPr>
            <w:tcW w:type="dxa" w:w="5953"/>
            <w:shd w:val="clear" w:fill="F1F5F9"/>
          </w:tcPr>
          <w:p>
            <w:r>
              <w:rPr>
                <w:color w:val="2A3746"/>
                <w:sz w:val="19"/>
              </w:rPr>
              <w:t>ОМУ — не «био-стимулятор», а комплексное NPK с гарантированным составом; урожай на уровне и выше аммофоса, зерно 1 класса (НПЦЗХ).</w:t>
            </w:r>
          </w:p>
        </w:tc>
      </w:tr>
      <w:tr>
        <w:tc>
          <w:tcPr>
            <w:tcW w:type="dxa" w:w="3402"/>
            <w:shd w:val="clear" w:fill="FFFFFF"/>
          </w:tcPr>
          <w:p>
            <w:r>
              <w:rPr>
                <w:color w:val="2A3746"/>
                <w:sz w:val="19"/>
              </w:rPr>
              <w:t>«Не поверю, пока не увижу»</w:t>
            </w:r>
          </w:p>
        </w:tc>
        <w:tc>
          <w:tcPr>
            <w:tcW w:type="dxa" w:w="5953"/>
            <w:shd w:val="clear" w:fill="FFFFFF"/>
          </w:tcPr>
          <w:p>
            <w:r>
              <w:rPr>
                <w:color w:val="2A3746"/>
                <w:sz w:val="19"/>
              </w:rPr>
              <w:t>Бесплатный полевой опыт на вашем поле, сравнение с текущим удобрением — риск ноль.</w:t>
            </w:r>
          </w:p>
        </w:tc>
      </w:tr>
      <w:tr>
        <w:tc>
          <w:tcPr>
            <w:tcW w:type="dxa" w:w="3402"/>
            <w:shd w:val="clear" w:fill="F1F5F9"/>
          </w:tcPr>
          <w:p>
            <w:r>
              <w:rPr>
                <w:color w:val="2A3746"/>
                <w:sz w:val="19"/>
              </w:rPr>
              <w:t>«Наверняка дороже импорта»</w:t>
            </w:r>
          </w:p>
        </w:tc>
        <w:tc>
          <w:tcPr>
            <w:tcW w:type="dxa" w:w="5953"/>
            <w:shd w:val="clear" w:fill="F1F5F9"/>
          </w:tcPr>
          <w:p>
            <w:r>
              <w:rPr>
                <w:color w:val="2A3746"/>
                <w:sz w:val="19"/>
              </w:rPr>
              <w:t>~$500 против ~$630/т, цена в тенге — не зависите от доллара.</w:t>
            </w:r>
          </w:p>
        </w:tc>
      </w:tr>
      <w:tr>
        <w:tc>
          <w:tcPr>
            <w:tcW w:type="dxa" w:w="3402"/>
            <w:shd w:val="clear" w:fill="FFFFFF"/>
          </w:tcPr>
          <w:p>
            <w:r>
              <w:rPr>
                <w:color w:val="2A3746"/>
                <w:sz w:val="19"/>
              </w:rPr>
              <w:t>«Сложно вносить»</w:t>
            </w:r>
          </w:p>
        </w:tc>
        <w:tc>
          <w:tcPr>
            <w:tcW w:type="dxa" w:w="5953"/>
            <w:shd w:val="clear" w:fill="FFFFFF"/>
          </w:tcPr>
          <w:p>
            <w:r>
              <w:rPr>
                <w:color w:val="2A3746"/>
                <w:sz w:val="19"/>
              </w:rPr>
              <w:t>За один проход при посеве, обычными сеялками — без доп. техники.</w:t>
            </w:r>
          </w:p>
        </w:tc>
      </w:tr>
      <w:tr>
        <w:tc>
          <w:tcPr>
            <w:tcW w:type="dxa" w:w="3402"/>
            <w:shd w:val="clear" w:fill="F1F5F9"/>
          </w:tcPr>
          <w:p>
            <w:r>
              <w:rPr>
                <w:color w:val="2A3746"/>
                <w:sz w:val="19"/>
              </w:rPr>
              <w:t>«Поставят ли вовремя?»</w:t>
            </w:r>
          </w:p>
        </w:tc>
        <w:tc>
          <w:tcPr>
            <w:tcW w:type="dxa" w:w="5953"/>
            <w:shd w:val="clear" w:fill="F1F5F9"/>
          </w:tcPr>
          <w:p>
            <w:r>
              <w:rPr>
                <w:color w:val="2A3746"/>
                <w:sz w:val="19"/>
              </w:rPr>
              <w:t>Локальное производство в РК + договор с фиксацией срока к посевной.</w:t>
            </w:r>
          </w:p>
        </w:tc>
      </w:tr>
      <w:tr>
        <w:tc>
          <w:tcPr>
            <w:tcW w:type="dxa" w:w="3402"/>
            <w:shd w:val="clear" w:fill="FFFFFF"/>
          </w:tcPr>
          <w:p>
            <w:r>
              <w:rPr>
                <w:color w:val="2A3746"/>
                <w:sz w:val="19"/>
              </w:rPr>
              <w:t>«Состав будет плавать»</w:t>
            </w:r>
          </w:p>
        </w:tc>
        <w:tc>
          <w:tcPr>
            <w:tcW w:type="dxa" w:w="5953"/>
            <w:shd w:val="clear" w:fill="FFFFFF"/>
          </w:tcPr>
          <w:p>
            <w:r>
              <w:rPr>
                <w:color w:val="2A3746"/>
                <w:sz w:val="19"/>
              </w:rPr>
              <w:t>Стабильный гарантированный NPK под запрос, без сорняков и патогенов.</w:t>
            </w:r>
          </w:p>
        </w:tc>
      </w:tr>
      <w:tr>
        <w:tc>
          <w:tcPr>
            <w:tcW w:type="dxa" w:w="3402"/>
            <w:shd w:val="clear" w:fill="F1F5F9"/>
          </w:tcPr>
          <w:p>
            <w:r>
              <w:rPr>
                <w:color w:val="2A3746"/>
                <w:sz w:val="19"/>
              </w:rPr>
              <w:t>«Субсидия есть?»</w:t>
            </w:r>
          </w:p>
        </w:tc>
        <w:tc>
          <w:tcPr>
            <w:tcW w:type="dxa" w:w="5953"/>
            <w:shd w:val="clear" w:fill="F1F5F9"/>
          </w:tcPr>
          <w:p>
            <w:r>
              <w:rPr>
                <w:color w:val="2A3746"/>
                <w:sz w:val="19"/>
              </w:rPr>
              <w:t>Работаем над включением в перечень; поможем с оформлением.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13294B"/>
        </w:rPr>
        <w:t>Промпт 3. Выбор каналов</w:t>
      </w:r>
    </w:p>
    <w:p>
      <w:pPr>
        <w:pStyle w:val="Heading2"/>
      </w:pPr>
      <w:r>
        <w:rPr>
          <w:rFonts w:ascii="Calibri" w:hAnsi="Calibri"/>
          <w:color w:val="2F6690"/>
        </w:rPr>
        <w:t>1) Полевые дни + продажи через агрономов/дистрибьюторов — ГЛАВНЫЙ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Почему: покупают «глазами и через своих»; демо снимает главное возражение.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Что работает: делянки-сравнения, замеры при коллегах, заключение НПЦЗХ, кейсы соседей, агрономы-чемпионы.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Ресурс: команда «полевых» продавцов + дистрибьюторы; бюджет на демо-партии и мероприятия.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Успех: число демо-опытов → конверсия в контракты → законтрактованные тонны.</w:t>
      </w:r>
    </w:p>
    <w:p>
      <w:pPr>
        <w:pStyle w:val="Heading2"/>
      </w:pPr>
      <w:r>
        <w:rPr>
          <w:rFonts w:ascii="Calibri" w:hAnsi="Calibri"/>
          <w:color w:val="2F6690"/>
        </w:rPr>
        <w:t>2) WhatsApp / Telegram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Почему: там реально «живут» аграрии РК; быстрый директ.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Что работает: короткие видео опытов, «до/после», прайс в тенге, ответы на возражения, посевы в областных агро-каналах.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Ресурс: 1 менеджер ежедневно; низкий-средний бюджет.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Успех: число заявок на демо/прайс, скорость ответа.</w:t>
      </w:r>
    </w:p>
    <w:p>
      <w:pPr>
        <w:pStyle w:val="Heading2"/>
      </w:pPr>
      <w:r>
        <w:rPr>
          <w:rFonts w:ascii="Calibri" w:hAnsi="Calibri"/>
          <w:color w:val="2F6690"/>
        </w:rPr>
        <w:t>3) YouTube + порталы (ElDala.kz, APK News)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Почему: там ищут «работает ли это» и читают отраслевые новости.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Что работает: видео-кейсы (5–10 мин), интервью с агрономами/НПЦЗХ, «ОМУ vs импорт», статьи-кейсы, PR.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Ресурс: 2–4 видео/мес + статьи; средний бюджет.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Успех: целевые просмотры, переходы в WhatsApp.</w:t>
      </w:r>
    </w:p>
    <w:p>
      <w:pPr>
        <w:pStyle w:val="Heading2"/>
      </w:pPr>
      <w:r>
        <w:rPr>
          <w:rFonts w:ascii="Calibri" w:hAnsi="Calibri"/>
          <w:color w:val="C4772F"/>
        </w:rPr>
        <w:t>Каких каналов избегать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TikTok — не тот контекст для B2B-агро закупок на миллионы.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LinkedIn — в РК-агро почти пуст для сегмента.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Массовое ТВ/радио/наружка без гео — дорого и «в молоко».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Глянцевый Instagram-таргет без доказательств — не конвертит скептика; Instagram только как витрина кейсов.</w:t>
      </w:r>
    </w:p>
    <w:p>
      <w:pPr>
        <w:pStyle w:val="Heading1"/>
      </w:pPr>
      <w:r>
        <w:rPr>
          <w:rFonts w:ascii="Calibri" w:hAnsi="Calibri"/>
          <w:color w:val="13294B"/>
        </w:rPr>
        <w:t>Промпт 4. Контент-план на 90 дней</w:t>
      </w:r>
    </w:p>
    <w:p>
      <w:pPr>
        <w:pStyle w:val="Heading2"/>
      </w:pPr>
      <w:r>
        <w:rPr>
          <w:rFonts w:ascii="Calibri" w:hAnsi="Calibri"/>
          <w:color w:val="2F6690"/>
        </w:rPr>
        <w:t>Контентные столпы (под путь клиента)</w:t>
      </w:r>
    </w:p>
    <w:p>
      <w:pPr>
        <w:pStyle w:val="ListBullet"/>
        <w:spacing w:after="60"/>
      </w:pPr>
      <w:r>
        <w:rPr>
          <w:b/>
          <w:color w:val="2F6690"/>
          <w:sz w:val="22"/>
        </w:rPr>
        <w:t xml:space="preserve">Столп 1. </w:t>
      </w:r>
      <w:r>
        <w:rPr>
          <w:b w:val="0"/>
          <w:color w:val="2A3746"/>
          <w:sz w:val="22"/>
        </w:rPr>
        <w:t>Проблема: истощение почвы + валютная ловушка импорта.</w:t>
      </w:r>
    </w:p>
    <w:p>
      <w:pPr>
        <w:pStyle w:val="ListBullet"/>
        <w:spacing w:after="60"/>
      </w:pPr>
      <w:r>
        <w:rPr>
          <w:b/>
          <w:color w:val="2F6690"/>
          <w:sz w:val="22"/>
        </w:rPr>
        <w:t xml:space="preserve">Столп 2. </w:t>
      </w:r>
      <w:r>
        <w:rPr>
          <w:b w:val="0"/>
          <w:color w:val="2A3746"/>
          <w:sz w:val="22"/>
        </w:rPr>
        <w:t>Доказательство: полевые опыты +19–25%, НПЦЗХ, 1:3.</w:t>
      </w:r>
    </w:p>
    <w:p>
      <w:pPr>
        <w:pStyle w:val="ListBullet"/>
        <w:spacing w:after="60"/>
      </w:pPr>
      <w:r>
        <w:rPr>
          <w:b/>
          <w:color w:val="2F6690"/>
          <w:sz w:val="22"/>
        </w:rPr>
        <w:t xml:space="preserve">Столп 3. </w:t>
      </w:r>
      <w:r>
        <w:rPr>
          <w:b w:val="0"/>
          <w:color w:val="2A3746"/>
          <w:sz w:val="22"/>
        </w:rPr>
        <w:t>Экономика: ОМУ $500 vs импорт $630, тенге, субсидии, окупаемость с га.</w:t>
      </w:r>
    </w:p>
    <w:p>
      <w:pPr>
        <w:pStyle w:val="ListBullet"/>
        <w:spacing w:after="60"/>
      </w:pPr>
      <w:r>
        <w:rPr>
          <w:b/>
          <w:color w:val="2F6690"/>
          <w:sz w:val="22"/>
        </w:rPr>
        <w:t xml:space="preserve">Столп 4. </w:t>
      </w:r>
      <w:r>
        <w:rPr>
          <w:b w:val="0"/>
          <w:color w:val="2A3746"/>
          <w:sz w:val="22"/>
        </w:rPr>
        <w:t>Снятие возражений: «не био-пустышка», простота внесения, гарантия поставки, стабильный состав.</w:t>
      </w:r>
    </w:p>
    <w:p>
      <w:pPr>
        <w:pStyle w:val="ListBullet"/>
        <w:spacing w:after="60"/>
      </w:pPr>
      <w:r>
        <w:rPr>
          <w:b/>
          <w:color w:val="2F6690"/>
          <w:sz w:val="22"/>
        </w:rPr>
        <w:t xml:space="preserve">Столп 5. </w:t>
      </w:r>
      <w:r>
        <w:rPr>
          <w:b w:val="0"/>
          <w:color w:val="2A3746"/>
          <w:sz w:val="22"/>
        </w:rPr>
        <w:t>Оффер: бесплатный полевой опыт → контракт к посевной.</w:t>
      </w:r>
    </w:p>
    <w:p>
      <w:pPr>
        <w:pStyle w:val="Heading2"/>
      </w:pPr>
      <w:r>
        <w:rPr>
          <w:rFonts w:ascii="Calibri" w:hAnsi="Calibri"/>
          <w:color w:val="2F6690"/>
        </w:rPr>
        <w:t>Календарь по неделям (12 недель)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37"/>
            <w:shd w:val="clear" w:fill="13294B"/>
          </w:tcPr>
          <w:p>
            <w:r>
              <w:rPr>
                <w:b/>
                <w:color w:val="FFFFFF"/>
                <w:sz w:val="20"/>
              </w:rPr>
              <w:t>Нед.</w:t>
            </w:r>
          </w:p>
        </w:tc>
        <w:tc>
          <w:tcPr>
            <w:tcW w:type="dxa" w:w="4932"/>
            <w:shd w:val="clear" w:fill="13294B"/>
          </w:tcPr>
          <w:p>
            <w:r>
              <w:rPr>
                <w:b/>
                <w:color w:val="FFFFFF"/>
                <w:sz w:val="20"/>
              </w:rPr>
              <w:t>Тема (столп)</w:t>
            </w:r>
          </w:p>
        </w:tc>
        <w:tc>
          <w:tcPr>
            <w:tcW w:type="dxa" w:w="3685"/>
            <w:shd w:val="clear" w:fill="13294B"/>
          </w:tcPr>
          <w:p>
            <w:r>
              <w:rPr>
                <w:b/>
                <w:color w:val="FFFFFF"/>
                <w:sz w:val="20"/>
              </w:rPr>
              <w:t>Цель материала</w:t>
            </w:r>
          </w:p>
        </w:tc>
      </w:tr>
      <w:tr>
        <w:tc>
          <w:tcPr>
            <w:tcW w:type="dxa" w:w="737"/>
            <w:shd w:val="clear" w:fill="F1F5F9"/>
          </w:tcPr>
          <w:p>
            <w:r>
              <w:rPr>
                <w:color w:val="2A3746"/>
                <w:sz w:val="19"/>
              </w:rPr>
              <w:t>1</w:t>
            </w:r>
          </w:p>
        </w:tc>
        <w:tc>
          <w:tcPr>
            <w:tcW w:type="dxa" w:w="4932"/>
            <w:shd w:val="clear" w:fill="F1F5F9"/>
          </w:tcPr>
          <w:p>
            <w:r>
              <w:rPr>
                <w:color w:val="2A3746"/>
                <w:sz w:val="19"/>
              </w:rPr>
              <w:t>«Земля устала»: почему падает гумус (1)</w:t>
            </w:r>
          </w:p>
        </w:tc>
        <w:tc>
          <w:tcPr>
            <w:tcW w:type="dxa" w:w="3685"/>
            <w:shd w:val="clear" w:fill="F1F5F9"/>
          </w:tcPr>
          <w:p>
            <w:r>
              <w:rPr>
                <w:color w:val="2A3746"/>
                <w:sz w:val="19"/>
              </w:rPr>
              <w:t>Зацепить боль, собрать аудиторию</w:t>
            </w:r>
          </w:p>
        </w:tc>
      </w:tr>
      <w:tr>
        <w:tc>
          <w:tcPr>
            <w:tcW w:type="dxa" w:w="737"/>
            <w:shd w:val="clear" w:fill="FFFFFF"/>
          </w:tcPr>
          <w:p>
            <w:r>
              <w:rPr>
                <w:color w:val="2A3746"/>
                <w:sz w:val="19"/>
              </w:rPr>
              <w:t>2</w:t>
            </w:r>
          </w:p>
        </w:tc>
        <w:tc>
          <w:tcPr>
            <w:tcW w:type="dxa" w:w="4932"/>
            <w:shd w:val="clear" w:fill="FFFFFF"/>
          </w:tcPr>
          <w:p>
            <w:r>
              <w:rPr>
                <w:color w:val="2A3746"/>
                <w:sz w:val="19"/>
              </w:rPr>
              <w:t>«Удобрения по курсу доллара» (1)</w:t>
            </w:r>
          </w:p>
        </w:tc>
        <w:tc>
          <w:tcPr>
            <w:tcW w:type="dxa" w:w="3685"/>
            <w:shd w:val="clear" w:fill="FFFFFF"/>
          </w:tcPr>
          <w:p>
            <w:r>
              <w:rPr>
                <w:color w:val="2A3746"/>
                <w:sz w:val="19"/>
              </w:rPr>
              <w:t>Обострить проблему цены/импорта</w:t>
            </w:r>
          </w:p>
        </w:tc>
      </w:tr>
      <w:tr>
        <w:tc>
          <w:tcPr>
            <w:tcW w:type="dxa" w:w="737"/>
            <w:shd w:val="clear" w:fill="F1F5F9"/>
          </w:tcPr>
          <w:p>
            <w:r>
              <w:rPr>
                <w:color w:val="2A3746"/>
                <w:sz w:val="19"/>
              </w:rPr>
              <w:t>3</w:t>
            </w:r>
          </w:p>
        </w:tc>
        <w:tc>
          <w:tcPr>
            <w:tcW w:type="dxa" w:w="4932"/>
            <w:shd w:val="clear" w:fill="F1F5F9"/>
          </w:tcPr>
          <w:p>
            <w:r>
              <w:rPr>
                <w:color w:val="2A3746"/>
                <w:sz w:val="19"/>
              </w:rPr>
              <w:t>Видео-кейс: опыт +21% пшеница (2)</w:t>
            </w:r>
          </w:p>
        </w:tc>
        <w:tc>
          <w:tcPr>
            <w:tcW w:type="dxa" w:w="3685"/>
            <w:shd w:val="clear" w:fill="F1F5F9"/>
          </w:tcPr>
          <w:p>
            <w:r>
              <w:rPr>
                <w:color w:val="2A3746"/>
                <w:sz w:val="19"/>
              </w:rPr>
              <w:t>Первое доказательство</w:t>
            </w:r>
          </w:p>
        </w:tc>
      </w:tr>
      <w:tr>
        <w:tc>
          <w:tcPr>
            <w:tcW w:type="dxa" w:w="737"/>
            <w:shd w:val="clear" w:fill="FFFFFF"/>
          </w:tcPr>
          <w:p>
            <w:r>
              <w:rPr>
                <w:color w:val="2A3746"/>
                <w:sz w:val="19"/>
              </w:rPr>
              <w:t>4</w:t>
            </w:r>
          </w:p>
        </w:tc>
        <w:tc>
          <w:tcPr>
            <w:tcW w:type="dxa" w:w="4932"/>
            <w:shd w:val="clear" w:fill="FFFFFF"/>
          </w:tcPr>
          <w:p>
            <w:r>
              <w:rPr>
                <w:color w:val="2A3746"/>
                <w:sz w:val="19"/>
              </w:rPr>
              <w:t>Заключение НПЦЗХ им. Бараева (2)</w:t>
            </w:r>
          </w:p>
        </w:tc>
        <w:tc>
          <w:tcPr>
            <w:tcW w:type="dxa" w:w="3685"/>
            <w:shd w:val="clear" w:fill="FFFFFF"/>
          </w:tcPr>
          <w:p>
            <w:r>
              <w:rPr>
                <w:color w:val="2A3746"/>
                <w:sz w:val="19"/>
              </w:rPr>
              <w:t>Научный авторитет</w:t>
            </w:r>
          </w:p>
        </w:tc>
      </w:tr>
      <w:tr>
        <w:tc>
          <w:tcPr>
            <w:tcW w:type="dxa" w:w="737"/>
            <w:shd w:val="clear" w:fill="F1F5F9"/>
          </w:tcPr>
          <w:p>
            <w:r>
              <w:rPr>
                <w:color w:val="2A3746"/>
                <w:sz w:val="19"/>
              </w:rPr>
              <w:t>5</w:t>
            </w:r>
          </w:p>
        </w:tc>
        <w:tc>
          <w:tcPr>
            <w:tcW w:type="dxa" w:w="4932"/>
            <w:shd w:val="clear" w:fill="F1F5F9"/>
          </w:tcPr>
          <w:p>
            <w:r>
              <w:rPr>
                <w:color w:val="2A3746"/>
                <w:sz w:val="19"/>
              </w:rPr>
              <w:t>«ОМУ vs аммофос: цена за т и за га» (3)</w:t>
            </w:r>
          </w:p>
        </w:tc>
        <w:tc>
          <w:tcPr>
            <w:tcW w:type="dxa" w:w="3685"/>
            <w:shd w:val="clear" w:fill="F1F5F9"/>
          </w:tcPr>
          <w:p>
            <w:r>
              <w:rPr>
                <w:color w:val="2A3746"/>
                <w:sz w:val="19"/>
              </w:rPr>
              <w:t>Экономический аргумент</w:t>
            </w:r>
          </w:p>
        </w:tc>
      </w:tr>
      <w:tr>
        <w:tc>
          <w:tcPr>
            <w:tcW w:type="dxa" w:w="737"/>
            <w:shd w:val="clear" w:fill="FFFFFF"/>
          </w:tcPr>
          <w:p>
            <w:r>
              <w:rPr>
                <w:color w:val="2A3746"/>
                <w:sz w:val="19"/>
              </w:rPr>
              <w:t>6</w:t>
            </w:r>
          </w:p>
        </w:tc>
        <w:tc>
          <w:tcPr>
            <w:tcW w:type="dxa" w:w="4932"/>
            <w:shd w:val="clear" w:fill="FFFFFF"/>
          </w:tcPr>
          <w:p>
            <w:r>
              <w:rPr>
                <w:color w:val="2A3746"/>
                <w:sz w:val="19"/>
              </w:rPr>
              <w:t>Как получить субсидию (3)</w:t>
            </w:r>
          </w:p>
        </w:tc>
        <w:tc>
          <w:tcPr>
            <w:tcW w:type="dxa" w:w="3685"/>
            <w:shd w:val="clear" w:fill="FFFFFF"/>
          </w:tcPr>
          <w:p>
            <w:r>
              <w:rPr>
                <w:color w:val="2A3746"/>
                <w:sz w:val="19"/>
              </w:rPr>
              <w:t>Польза + удешевление оффера</w:t>
            </w:r>
          </w:p>
        </w:tc>
      </w:tr>
      <w:tr>
        <w:tc>
          <w:tcPr>
            <w:tcW w:type="dxa" w:w="737"/>
            <w:shd w:val="clear" w:fill="F1F5F9"/>
          </w:tcPr>
          <w:p>
            <w:r>
              <w:rPr>
                <w:color w:val="2A3746"/>
                <w:sz w:val="19"/>
              </w:rPr>
              <w:t>7</w:t>
            </w:r>
          </w:p>
        </w:tc>
        <w:tc>
          <w:tcPr>
            <w:tcW w:type="dxa" w:w="4932"/>
            <w:shd w:val="clear" w:fill="F1F5F9"/>
          </w:tcPr>
          <w:p>
            <w:r>
              <w:rPr>
                <w:color w:val="2A3746"/>
                <w:sz w:val="19"/>
              </w:rPr>
              <w:t>«Это не био-пустышка»: гарант. NPK (4)</w:t>
            </w:r>
          </w:p>
        </w:tc>
        <w:tc>
          <w:tcPr>
            <w:tcW w:type="dxa" w:w="3685"/>
            <w:shd w:val="clear" w:fill="F1F5F9"/>
          </w:tcPr>
          <w:p>
            <w:r>
              <w:rPr>
                <w:color w:val="2A3746"/>
                <w:sz w:val="19"/>
              </w:rPr>
              <w:t>Снять ключевое возражение</w:t>
            </w:r>
          </w:p>
        </w:tc>
      </w:tr>
      <w:tr>
        <w:tc>
          <w:tcPr>
            <w:tcW w:type="dxa" w:w="737"/>
            <w:shd w:val="clear" w:fill="FFFFFF"/>
          </w:tcPr>
          <w:p>
            <w:r>
              <w:rPr>
                <w:color w:val="2A3746"/>
                <w:sz w:val="19"/>
              </w:rPr>
              <w:t>8</w:t>
            </w:r>
          </w:p>
        </w:tc>
        <w:tc>
          <w:tcPr>
            <w:tcW w:type="dxa" w:w="4932"/>
            <w:shd w:val="clear" w:fill="FFFFFF"/>
          </w:tcPr>
          <w:p>
            <w:r>
              <w:rPr>
                <w:color w:val="2A3746"/>
                <w:sz w:val="19"/>
              </w:rPr>
              <w:t>Внесение за один проход (4)</w:t>
            </w:r>
          </w:p>
        </w:tc>
        <w:tc>
          <w:tcPr>
            <w:tcW w:type="dxa" w:w="3685"/>
            <w:shd w:val="clear" w:fill="FFFFFF"/>
          </w:tcPr>
          <w:p>
            <w:r>
              <w:rPr>
                <w:color w:val="2A3746"/>
                <w:sz w:val="19"/>
              </w:rPr>
              <w:t>Снять «сложно вносить»</w:t>
            </w:r>
          </w:p>
        </w:tc>
      </w:tr>
      <w:tr>
        <w:tc>
          <w:tcPr>
            <w:tcW w:type="dxa" w:w="737"/>
            <w:shd w:val="clear" w:fill="F1F5F9"/>
          </w:tcPr>
          <w:p>
            <w:r>
              <w:rPr>
                <w:color w:val="2A3746"/>
                <w:sz w:val="19"/>
              </w:rPr>
              <w:t>9</w:t>
            </w:r>
          </w:p>
        </w:tc>
        <w:tc>
          <w:tcPr>
            <w:tcW w:type="dxa" w:w="4932"/>
            <w:shd w:val="clear" w:fill="F1F5F9"/>
          </w:tcPr>
          <w:p>
            <w:r>
              <w:rPr>
                <w:color w:val="2A3746"/>
                <w:sz w:val="19"/>
              </w:rPr>
              <w:t>Кейс соседнего хозяйства (2/4)</w:t>
            </w:r>
          </w:p>
        </w:tc>
        <w:tc>
          <w:tcPr>
            <w:tcW w:type="dxa" w:w="3685"/>
            <w:shd w:val="clear" w:fill="F1F5F9"/>
          </w:tcPr>
          <w:p>
            <w:r>
              <w:rPr>
                <w:color w:val="2A3746"/>
                <w:sz w:val="19"/>
              </w:rPr>
              <w:t>Соц. доказательство «свой»</w:t>
            </w:r>
          </w:p>
        </w:tc>
      </w:tr>
      <w:tr>
        <w:tc>
          <w:tcPr>
            <w:tcW w:type="dxa" w:w="737"/>
            <w:shd w:val="clear" w:fill="FFFFFF"/>
          </w:tcPr>
          <w:p>
            <w:r>
              <w:rPr>
                <w:color w:val="2A3746"/>
                <w:sz w:val="19"/>
              </w:rPr>
              <w:t>10</w:t>
            </w:r>
          </w:p>
        </w:tc>
        <w:tc>
          <w:tcPr>
            <w:tcW w:type="dxa" w:w="4932"/>
            <w:shd w:val="clear" w:fill="FFFFFF"/>
          </w:tcPr>
          <w:p>
            <w:r>
              <w:rPr>
                <w:color w:val="2A3746"/>
                <w:sz w:val="19"/>
              </w:rPr>
              <w:t>«+2% гумуса в год»: земля-актив (1/2)</w:t>
            </w:r>
          </w:p>
        </w:tc>
        <w:tc>
          <w:tcPr>
            <w:tcW w:type="dxa" w:w="3685"/>
            <w:shd w:val="clear" w:fill="FFFFFF"/>
          </w:tcPr>
          <w:p>
            <w:r>
              <w:rPr>
                <w:color w:val="2A3746"/>
                <w:sz w:val="19"/>
              </w:rPr>
              <w:t>Долгосрочная ценность</w:t>
            </w:r>
          </w:p>
        </w:tc>
      </w:tr>
      <w:tr>
        <w:tc>
          <w:tcPr>
            <w:tcW w:type="dxa" w:w="737"/>
            <w:shd w:val="clear" w:fill="F1F5F9"/>
          </w:tcPr>
          <w:p>
            <w:r>
              <w:rPr>
                <w:color w:val="2A3746"/>
                <w:sz w:val="19"/>
              </w:rPr>
              <w:t>11</w:t>
            </w:r>
          </w:p>
        </w:tc>
        <w:tc>
          <w:tcPr>
            <w:tcW w:type="dxa" w:w="4932"/>
            <w:shd w:val="clear" w:fill="F1F5F9"/>
          </w:tcPr>
          <w:p>
            <w:r>
              <w:rPr>
                <w:color w:val="2A3746"/>
                <w:sz w:val="19"/>
              </w:rPr>
              <w:t>Гарантия поставки к посевной (4)</w:t>
            </w:r>
          </w:p>
        </w:tc>
        <w:tc>
          <w:tcPr>
            <w:tcW w:type="dxa" w:w="3685"/>
            <w:shd w:val="clear" w:fill="F1F5F9"/>
          </w:tcPr>
          <w:p>
            <w:r>
              <w:rPr>
                <w:color w:val="2A3746"/>
                <w:sz w:val="19"/>
              </w:rPr>
              <w:t>Снять риск срыва</w:t>
            </w:r>
          </w:p>
        </w:tc>
      </w:tr>
      <w:tr>
        <w:tc>
          <w:tcPr>
            <w:tcW w:type="dxa" w:w="737"/>
            <w:shd w:val="clear" w:fill="FFFFFF"/>
          </w:tcPr>
          <w:p>
            <w:r>
              <w:rPr>
                <w:color w:val="2A3746"/>
                <w:sz w:val="19"/>
              </w:rPr>
              <w:t>12</w:t>
            </w:r>
          </w:p>
        </w:tc>
        <w:tc>
          <w:tcPr>
            <w:tcW w:type="dxa" w:w="4932"/>
            <w:shd w:val="clear" w:fill="FFFFFF"/>
          </w:tcPr>
          <w:p>
            <w:r>
              <w:rPr>
                <w:color w:val="2A3746"/>
                <w:sz w:val="19"/>
              </w:rPr>
              <w:t>Оффер: запись на бесплатный опыт (5)</w:t>
            </w:r>
          </w:p>
        </w:tc>
        <w:tc>
          <w:tcPr>
            <w:tcW w:type="dxa" w:w="3685"/>
            <w:shd w:val="clear" w:fill="FFFFFF"/>
          </w:tcPr>
          <w:p>
            <w:r>
              <w:rPr>
                <w:color w:val="2A3746"/>
                <w:sz w:val="19"/>
              </w:rPr>
              <w:t>Конверсия в заявку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color w:val="C4772F"/>
          <w:sz w:val="22"/>
        </w:rPr>
        <w:t xml:space="preserve">Ритм: </w:t>
      </w:r>
      <w:r>
        <w:rPr>
          <w:b w:val="0"/>
          <w:i w:val="0"/>
          <w:color w:val="2A3746"/>
          <w:sz w:val="22"/>
        </w:rPr>
        <w:t>2 «тяжёлых» материала/нед (видео/статья) + ежедневные короткие посты в WhatsApp/TG.</w:t>
      </w:r>
    </w:p>
    <w:p>
      <w:pPr>
        <w:pStyle w:val="Heading2"/>
      </w:pPr>
      <w:r>
        <w:rPr>
          <w:rFonts w:ascii="Calibri" w:hAnsi="Calibri"/>
          <w:color w:val="2F6690"/>
        </w:rPr>
        <w:t>Переупаковка 1 материала → 3 канала</w:t>
      </w:r>
    </w:p>
    <w:p>
      <w:pPr>
        <w:spacing w:after="120"/>
      </w:pPr>
      <w:r>
        <w:rPr>
          <w:b w:val="0"/>
          <w:i w:val="0"/>
          <w:color w:val="2A3746"/>
          <w:sz w:val="22"/>
        </w:rPr>
        <w:t>Один полевой опыт → (а) видео 5–8 мин на YouTube + статья на портал; (б) 60-сек нарезка + карусель «до/после» в WhatsApp/TG/Instagram; (в) офлайн — распечатанный кейс + слайд на полевом дне и в КП дистрибьютора.</w:t>
      </w:r>
    </w:p>
    <w:p>
      <w:pPr>
        <w:pStyle w:val="Heading2"/>
      </w:pPr>
      <w:r>
        <w:rPr>
          <w:rFonts w:ascii="Calibri" w:hAnsi="Calibri"/>
          <w:color w:val="2F6690"/>
        </w:rPr>
        <w:t>Метрики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Верх: охваты/просмотры целевой аудитории, подписчики.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Середина: заявки на прайс/демо, диалоги, переходы с YouTube.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Низ: заложенные опыты, КП, законтрактованные тонны, CAC, конверсия «опыт → контракт».</w:t>
      </w:r>
    </w:p>
    <w:p>
      <w:pPr>
        <w:pStyle w:val="Heading1"/>
      </w:pPr>
      <w:r>
        <w:rPr>
          <w:rFonts w:ascii="Calibri" w:hAnsi="Calibri"/>
          <w:color w:val="13294B"/>
        </w:rPr>
        <w:t>Промпт 5. Воронка от первого касания до покупки</w:t>
      </w:r>
    </w:p>
    <w:p>
      <w:pPr>
        <w:pStyle w:val="Heading2"/>
      </w:pPr>
      <w:r>
        <w:rPr>
          <w:rFonts w:ascii="Calibri" w:hAnsi="Calibri"/>
          <w:color w:val="2F6690"/>
        </w:rPr>
        <w:t>1) Первое касание</w:t>
      </w:r>
    </w:p>
    <w:p>
      <w:pPr>
        <w:spacing w:after="120"/>
      </w:pPr>
      <w:r>
        <w:rPr>
          <w:b w:val="0"/>
          <w:i w:val="0"/>
          <w:color w:val="2A3746"/>
          <w:sz w:val="22"/>
        </w:rPr>
        <w:t>Полевой день/выставка; посев в областном агро-чате; видео-кейс на YouTube/ElDala; рекомендация дистрибьютора. Крючок: «+19–25% к урожаю и дешевле импорта — подтверждено НПЦЗХ».</w:t>
      </w:r>
    </w:p>
    <w:p>
      <w:pPr>
        <w:pStyle w:val="Heading2"/>
      </w:pPr>
      <w:r>
        <w:rPr>
          <w:rFonts w:ascii="Calibri" w:hAnsi="Calibri"/>
          <w:color w:val="2F6690"/>
        </w:rPr>
        <w:t>2) Захват (лид)</w:t>
      </w:r>
    </w:p>
    <w:p>
      <w:pPr>
        <w:spacing w:after="120"/>
      </w:pPr>
      <w:r>
        <w:rPr>
          <w:b w:val="0"/>
          <w:i w:val="0"/>
          <w:color w:val="2A3746"/>
          <w:sz w:val="22"/>
        </w:rPr>
        <w:t>Оффер-магнит: «Бесплатный полевой опыт на вашем поле + расчёт экономики на га». Заявка в WhatsApp/на лендинге.</w:t>
      </w:r>
    </w:p>
    <w:p>
      <w:pPr>
        <w:pStyle w:val="Heading2"/>
      </w:pPr>
      <w:r>
        <w:rPr>
          <w:rFonts w:ascii="Calibri" w:hAnsi="Calibri"/>
          <w:color w:val="2F6690"/>
        </w:rPr>
        <w:t>3) Последовательность прогрева (WhatsApp/email)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День 0: «Как проходит полевой опыт» + видео-кейс.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День 2: заключение НПЦЗХ + результаты по вашей культуре.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День 4: «ОМУ vs импорт» — цена за т и за га (в тенге).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День 6: «Это не био-пустышка» + как вносить за один проход.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День 8: кейс соседнего хозяйства + субсидии.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День 10: гарантия поставки к посевной + СТА забронировать объём.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День 12+: ограничение по сроку → звонок агронома-продавца.</w:t>
      </w:r>
    </w:p>
    <w:p>
      <w:pPr>
        <w:pStyle w:val="Heading2"/>
      </w:pPr>
      <w:r>
        <w:rPr>
          <w:rFonts w:ascii="Calibri" w:hAnsi="Calibri"/>
          <w:color w:val="2F6690"/>
        </w:rPr>
        <w:t>4) СТА, который конвертирует</w:t>
      </w:r>
    </w:p>
    <w:p>
      <w:pPr>
        <w:spacing w:after="120"/>
      </w:pPr>
      <w:r>
        <w:rPr>
          <w:b/>
          <w:i w:val="0"/>
          <w:color w:val="13294B"/>
          <w:sz w:val="22"/>
        </w:rPr>
        <w:t>«Заложите бесплатный опыт на своём поле этой посевной и забронируйте объём по фиксированной цене в тенге — платите после результата/по договору поставки.»</w:t>
      </w:r>
    </w:p>
    <w:p>
      <w:pPr>
        <w:pStyle w:val="Heading2"/>
      </w:pPr>
      <w:r>
        <w:rPr>
          <w:rFonts w:ascii="Calibri" w:hAnsi="Calibri"/>
          <w:color w:val="2F6690"/>
        </w:rPr>
        <w:t>5) После покупки (разовый → постоянный → рефералы)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Агросопровождение: агроном ведёт клиента весь сезон.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Фиксация результата: совместный замер урожайности → кейс с его хозяйством.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Лояльность: цена/приоритет поставки на след. посевную.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Рефералы: «приведи соседа-директора → бонус обоим»; клиент-чемпион на полевом дне.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Годовой контракт на объём к посевной → предсказуемый сбыт.</w:t>
      </w:r>
    </w:p>
    <w:p>
      <w:pPr>
        <w:pStyle w:val="Heading1"/>
      </w:pPr>
      <w:r>
        <w:rPr>
          <w:rFonts w:ascii="Calibri" w:hAnsi="Calibri"/>
          <w:color w:val="13294B"/>
        </w:rPr>
        <w:t>Промпт 6. Платная реклама (~₸4–5 млн/мес)</w:t>
      </w:r>
    </w:p>
    <w:p>
      <w:pPr>
        <w:pStyle w:val="Heading2"/>
      </w:pPr>
      <w:r>
        <w:rPr>
          <w:rFonts w:ascii="Calibri" w:hAnsi="Calibri"/>
          <w:color w:val="2F6690"/>
        </w:rPr>
        <w:t>Платформа первой</w:t>
      </w:r>
    </w:p>
    <w:p>
      <w:pPr>
        <w:spacing w:after="120"/>
      </w:pPr>
      <w:r>
        <w:rPr>
          <w:b w:val="0"/>
          <w:i w:val="0"/>
          <w:color w:val="2A3746"/>
          <w:sz w:val="22"/>
        </w:rPr>
        <w:t>Meta (Instagram/Facebook) с гео- и интерес-таргетом по РК-агро + ретаргет; параллельно Telegram (агро-каналы); затем YouTube (in-stream). Не начинать с TikTok/LinkedIn/ТВ.</w:t>
      </w:r>
    </w:p>
    <w:p>
      <w:pPr>
        <w:pStyle w:val="Heading2"/>
      </w:pPr>
      <w:r>
        <w:rPr>
          <w:rFonts w:ascii="Calibri" w:hAnsi="Calibri"/>
          <w:color w:val="2F6690"/>
        </w:rPr>
        <w:t>Структура кампаний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Верх (Awareness/Video): короткие видео опыта, гео = зерновые области.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Середина (Traffic/Lead): «ОМУ vs импорт» + лид-форма/переход в WhatsApp.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Ретаргет (Conversion): смотревшим видео/лендинг → демо-партия + дедлайн посевной.</w:t>
      </w:r>
    </w:p>
    <w:p>
      <w:pPr>
        <w:pStyle w:val="Heading2"/>
      </w:pPr>
      <w:r>
        <w:rPr>
          <w:rFonts w:ascii="Calibri" w:hAnsi="Calibri"/>
          <w:color w:val="2F6690"/>
        </w:rPr>
        <w:t>Креатив и текст</w:t>
      </w:r>
    </w:p>
    <w:p>
      <w:pPr>
        <w:spacing w:after="120"/>
      </w:pPr>
      <w:r>
        <w:rPr>
          <w:b w:val="0"/>
          <w:i w:val="0"/>
          <w:color w:val="2A3746"/>
          <w:sz w:val="22"/>
        </w:rPr>
        <w:t>Креатив: реальное поле, делянки-сравнения, +19–25%, «зерно 1 класса», лицо агронома, знак НПЦЗХ. Текст: боль → обещание (+тонны, дешевле, в тенге) → доказательство → оффер «бесплатный опыт».</w:t>
      </w:r>
    </w:p>
    <w:p>
      <w:pPr>
        <w:pStyle w:val="Heading2"/>
      </w:pPr>
      <w:r>
        <w:rPr>
          <w:rFonts w:ascii="Calibri" w:hAnsi="Calibri"/>
          <w:color w:val="2F6690"/>
        </w:rPr>
        <w:t>Ретаргетинг</w:t>
      </w:r>
    </w:p>
    <w:p>
      <w:pPr>
        <w:spacing w:after="120"/>
      </w:pPr>
      <w:r>
        <w:rPr>
          <w:b w:val="0"/>
          <w:i w:val="0"/>
          <w:color w:val="2A3746"/>
          <w:sz w:val="22"/>
        </w:rPr>
        <w:t>Аудитории: смотревшие ≥50% видео, посетители лендинга, начавшие лид-форму, база WhatsApp. Сообщение — снятие последнего возражения + дедлайн посевной.</w:t>
      </w:r>
    </w:p>
    <w:p>
      <w:pPr>
        <w:pStyle w:val="Heading2"/>
      </w:pPr>
      <w:r>
        <w:rPr>
          <w:rFonts w:ascii="Calibri" w:hAnsi="Calibri"/>
          <w:color w:val="C4772F"/>
        </w:rPr>
        <w:t>Реалистичные ожидания</w:t>
      </w:r>
    </w:p>
    <w:p>
      <w:pPr>
        <w:spacing w:after="120"/>
      </w:pPr>
      <w:r>
        <w:rPr>
          <w:b w:val="0"/>
          <w:i w:val="0"/>
          <w:color w:val="2A3746"/>
          <w:sz w:val="22"/>
        </w:rPr>
        <w:t>B2B-агро, крупный чек, длинный цикл (решение к посевной) → не ждать мгновенных продаж. При ₸4–5 млн/мес — десятки целевых заявок/мес, из них единицы демо-опытов → контракты к следующей посевной. Главная метрика — стоимость целевой заявки и путь до законтрактованных тонн, а не ROAS «в лоб».</w:t>
      </w:r>
    </w:p>
    <w:p>
      <w:pPr>
        <w:pStyle w:val="Heading1"/>
      </w:pPr>
      <w:r>
        <w:rPr>
          <w:rFonts w:ascii="Calibri" w:hAnsi="Calibri"/>
          <w:color w:val="13294B"/>
        </w:rPr>
        <w:t>Промпт 7. Одностраничная стратегия</w:t>
      </w:r>
    </w:p>
    <w:p>
      <w:pPr>
        <w:spacing w:after="120"/>
      </w:pPr>
      <w:r>
        <w:rPr>
          <w:b/>
          <w:i w:val="0"/>
          <w:color w:val="13294B"/>
          <w:sz w:val="22"/>
        </w:rPr>
        <w:t xml:space="preserve">1. Клиент: </w:t>
      </w:r>
      <w:r>
        <w:rPr>
          <w:b w:val="0"/>
          <w:i w:val="0"/>
          <w:color w:val="2A3746"/>
          <w:sz w:val="22"/>
        </w:rPr>
        <w:t>собственник/агроном зернового хозяйства (5–50 тыс га) Костанайская/Акмолинская/СКО; боль — валютозависимый импорт + истощение почвы; верит полю и коллегам.</w:t>
      </w:r>
    </w:p>
    <w:p>
      <w:pPr>
        <w:spacing w:after="120"/>
      </w:pPr>
      <w:r>
        <w:rPr>
          <w:b/>
          <w:i w:val="0"/>
          <w:color w:val="13294B"/>
          <w:sz w:val="22"/>
        </w:rPr>
        <w:t xml:space="preserve">2. УТП: </w:t>
      </w:r>
      <w:r>
        <w:rPr>
          <w:b w:val="0"/>
          <w:i w:val="0"/>
          <w:color w:val="2A3746"/>
          <w:sz w:val="22"/>
        </w:rPr>
        <w:t>единственное в РК ОМУ: +19–25% как минеральное, восстанавливает почву, на ~20–25% дешевле импорта, в тенге, к посевной.</w:t>
      </w:r>
    </w:p>
    <w:p>
      <w:pPr>
        <w:spacing w:after="120"/>
      </w:pPr>
      <w:r>
        <w:rPr>
          <w:b/>
          <w:i w:val="0"/>
          <w:color w:val="13294B"/>
          <w:sz w:val="22"/>
        </w:rPr>
        <w:t xml:space="preserve">3. Топ-3 канала: </w:t>
      </w:r>
      <w:r>
        <w:rPr>
          <w:b w:val="0"/>
          <w:i w:val="0"/>
          <w:color w:val="2A3746"/>
          <w:sz w:val="22"/>
        </w:rPr>
        <w:t>полевые дни + продажи через агрономов/дистрибьюторов; WhatsApp/Telegram; YouTube + порталы (ElDala).</w:t>
      </w:r>
    </w:p>
    <w:p>
      <w:pPr>
        <w:spacing w:after="120"/>
      </w:pPr>
      <w:r>
        <w:rPr>
          <w:b/>
          <w:i w:val="0"/>
          <w:color w:val="13294B"/>
          <w:sz w:val="22"/>
        </w:rPr>
        <w:t xml:space="preserve">4. 90-дневный план: </w:t>
      </w:r>
      <w:r>
        <w:rPr>
          <w:b w:val="0"/>
          <w:i w:val="0"/>
          <w:color w:val="2A3746"/>
          <w:sz w:val="22"/>
        </w:rPr>
        <w:t>столпы «проблема → доказательство → экономика → возражения → оффер»; 12 недель; 1 опыт → видео+статья+нарезки+офлайн-кейс.</w:t>
      </w:r>
    </w:p>
    <w:p>
      <w:pPr>
        <w:spacing w:after="120"/>
      </w:pPr>
      <w:r>
        <w:rPr>
          <w:b/>
          <w:i w:val="0"/>
          <w:color w:val="13294B"/>
          <w:sz w:val="22"/>
        </w:rPr>
        <w:t xml:space="preserve">5. Воронка: </w:t>
      </w:r>
      <w:r>
        <w:rPr>
          <w:b w:val="0"/>
          <w:i w:val="0"/>
          <w:color w:val="2A3746"/>
          <w:sz w:val="22"/>
        </w:rPr>
        <w:t>касание → «бесплатный опыт на вашем поле» → прогрев → демо-партия → контракт к посевной → лояльность/рефералы/годовой контракт.</w:t>
      </w:r>
    </w:p>
    <w:p>
      <w:pPr>
        <w:spacing w:after="120"/>
      </w:pPr>
      <w:r>
        <w:rPr>
          <w:b/>
          <w:i w:val="0"/>
          <w:color w:val="13294B"/>
          <w:sz w:val="22"/>
        </w:rPr>
        <w:t xml:space="preserve">6. Реклама: </w:t>
      </w:r>
      <w:r>
        <w:rPr>
          <w:b w:val="0"/>
          <w:i w:val="0"/>
          <w:color w:val="2A3746"/>
          <w:sz w:val="22"/>
        </w:rPr>
        <w:t>старт Meta + Telegram + ретаргет; креатив — поле/+19–25%/НПЦЗХ; ожидания — заявки/демо, продажи к посевной.</w:t>
      </w:r>
    </w:p>
    <w:p>
      <w:pPr>
        <w:pStyle w:val="Heading2"/>
      </w:pPr>
      <w:r>
        <w:rPr>
          <w:rFonts w:ascii="Calibri" w:hAnsi="Calibri"/>
          <w:color w:val="2F6690"/>
        </w:rPr>
        <w:t>Ключевые KPI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Заложенные полевые опыты (шт/сезон).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Конверсия «опыт → контракт» и законтрактованные тонны.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Стоимость целевой заявки (CAC) по каналам.</w:t>
      </w:r>
    </w:p>
    <w:p>
      <w:pPr>
        <w:pStyle w:val="Heading2"/>
      </w:pPr>
      <w:r>
        <w:rPr>
          <w:rFonts w:ascii="Calibri" w:hAnsi="Calibri"/>
          <w:color w:val="2F6690"/>
        </w:rPr>
        <w:t>План на первые 30 дней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Неделя 1: зафиксировать ICP и сообщения; собрать «доказательную папку» (НПЦЗХ, опыты, расчёт «ОМУ vs импорт»); снять 1 видео-кейс.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Неделя 2: запустить WhatsApp/TG + лендинг с оффером «бесплатный опыт»; список 30–50 хозяйств и дистрибьюторов.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Неделя 3: тест платного трафика (Meta + посевы) → лид-форма; прямой обзвон/директ по списку.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Неделя 4: заложить первые опыты на посевную; замерить стоимость заявки; отобрать 1–2 хозяйства-чемпиона.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2A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