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inline distT="0" distB="0" distL="0" distR="0">
            <wp:extent cx="200025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0"/>
      </w:pP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1668B3"/>
          <w:spacing w:val="44"/>
          <w:sz w:val="22"/>
          <w:szCs w:val="22"/>
        </w:rPr>
        <w:t xml:space="preserve">КОММЕРЧЕСКОЕ ПРЕДЛОЖЕНИЕ</w:t>
      </w:r>
    </w:p>
    <w:p>
      <w:pPr>
        <w:spacing w:after="60" w:line="308" w:lineRule="auto"/>
      </w:pPr>
      <w:r>
        <w:rPr>
          <w:rFonts w:ascii="Montserrat" w:cs="Montserrat" w:eastAsia="Montserrat" w:hAnsi="Montserrat"/>
          <w:b/>
          <w:bCs/>
          <w:color w:val="1D2733"/>
          <w:sz w:val="52"/>
          <w:szCs w:val="52"/>
        </w:rPr>
        <w:t xml:space="preserve">Поставка подсолнечного масла нерафинированного</w:t>
      </w:r>
    </w:p>
    <w:p>
      <w:pPr>
        <w:pBdr>
          <w:bottom w:val="single" w:color="1668B3" w:sz="20" w:space="10"/>
        </w:pBdr>
        <w:spacing w:after="220" w:line="300" w:lineRule="auto"/>
      </w:pPr>
      <w:r>
        <w:rPr>
          <w:rFonts w:ascii="Montserrat" w:cs="Montserrat" w:eastAsia="Montserrat" w:hAnsi="Montserrat"/>
          <w:color w:val="6B7682"/>
          <w:sz w:val="26"/>
          <w:szCs w:val="26"/>
        </w:rPr>
        <w:t xml:space="preserve">Базис поставки FOB — порт Актау (Инкотермс 2020)</w:t>
      </w:r>
    </w:p>
    <w:p>
      <w:pPr>
        <w:spacing w:after="26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754"/>
      </w:tblGrid>
      <w:tr>
        <w:tc>
          <w:tcPr>
            <w:tcW w:type="dxa" w:w="2600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ПОЛУЧАТЕЛЬ</w:t>
            </w:r>
          </w:p>
        </w:tc>
        <w:tc>
          <w:tcPr>
            <w:tcW w:type="dxa" w:w="6754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6B7682"/>
                <w:sz w:val="21"/>
                <w:szCs w:val="21"/>
              </w:rPr>
              <w:t xml:space="preserve">наименование покупателя</w:t>
            </w:r>
          </w:p>
        </w:tc>
      </w:tr>
      <w:tr>
        <w:tc>
          <w:tcPr>
            <w:tcW w:type="dxa" w:w="2600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ДАТА</w:t>
            </w:r>
          </w:p>
        </w:tc>
        <w:tc>
          <w:tcPr>
            <w:tcW w:type="dxa" w:w="6754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D2733"/>
                <w:sz w:val="21"/>
                <w:szCs w:val="21"/>
              </w:rPr>
              <w:t xml:space="preserve">03 августа 2026 г.</w:t>
            </w:r>
          </w:p>
        </w:tc>
      </w:tr>
      <w:tr>
        <w:tc>
          <w:tcPr>
            <w:tcW w:type="dxa" w:w="2600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ЦЕНА ДЕЙСТВИТЕЛЬНА</w:t>
            </w:r>
          </w:p>
        </w:tc>
        <w:tc>
          <w:tcPr>
            <w:tcW w:type="dxa" w:w="6754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D2733"/>
                <w:sz w:val="21"/>
                <w:szCs w:val="21"/>
              </w:rPr>
              <w:t xml:space="preserve">5 (пять) банковских дней</w:t>
            </w:r>
          </w:p>
        </w:tc>
      </w:tr>
      <w:tr>
        <w:tc>
          <w:tcPr>
            <w:tcW w:type="dxa" w:w="2600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ПРОДУКТ</w:t>
            </w:r>
          </w:p>
        </w:tc>
        <w:tc>
          <w:tcPr>
            <w:tcW w:type="dxa" w:w="6754"/>
            <w:tcBorders>
              <w:top w:val="single" w:color="D8DEE6" w:sz="4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D2733"/>
                <w:sz w:val="21"/>
                <w:szCs w:val="21"/>
              </w:rPr>
              <w:t xml:space="preserve">Масло подсолнечное нерафинированное, налив</w:t>
            </w:r>
          </w:p>
        </w:tc>
      </w:tr>
    </w:tbl>
    <w:p>
      <w:pPr>
        <w:spacing w:after="1000"/>
      </w:pPr>
    </w:p>
    <w:p>
      <w:pPr>
        <w:spacing w:after="0" w:line="220" w:lineRule="auto"/>
      </w:pPr>
      <w:r>
        <w:rPr>
          <w:rFonts w:ascii="Montserrat" w:cs="Montserrat" w:eastAsia="Montserrat" w:hAnsi="Montserrat"/>
          <w:b/>
          <w:bCs/>
          <w:color w:val="1668B3"/>
          <w:spacing w:val="14"/>
          <w:sz w:val="15"/>
          <w:szCs w:val="15"/>
        </w:rPr>
        <w:t xml:space="preserve">КОНФИДЕНЦИАЛЬНО.</w:t>
      </w:r>
      <w:r>
        <w:rPr>
          <w:rFonts w:ascii="Montserrat" w:cs="Montserrat" w:eastAsia="Montserrat" w:hAnsi="Montserrat"/>
          <w:color w:val="6B7682"/>
          <w:sz w:val="15"/>
          <w:szCs w:val="15"/>
        </w:rPr>
        <w:t xml:space="preserve">  Документ подготовлен ТОО «WayStar Group» и предназначен исключительно для адресата.</w:t>
      </w:r>
    </w:p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01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КЛЮЧЕВОЕ ПРЕДЛОЖЕНИЕ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WayStar Group поставит 3 000–5 000 тонн подсолнечного масла на условиях FOB Актау в течение 10–20 рабочих дней с момента оплаты.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Цена — </w:t>
      </w: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1 380–1 410 USD за метрическую тонну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 на базисе FOB порт Актау (Инкотермс 2020); точная цена в диапазоне фиксируется под объём и форму оплаты.</w:t>
      </w: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Собственная логистика группы обеспечивает контроль сроков и себестоимости </w:t>
      </w: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от завода до борта судна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 — без посредников и перегрузочных рисков.</w:t>
      </w: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Гибкие финансовые условия: 100% предоплата, аккредитив либо предоплата с окончательным расчётом против копий отгрузочных документов.</w:t>
      </w:r>
    </w:p>
    <w:p>
      <w:pPr>
        <w:spacing w:after="15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8"/>
        <w:gridCol w:w="2338"/>
        <w:gridCol w:w="2338"/>
        <w:gridCol w:w="2340"/>
      </w:tblGrid>
      <w:tr>
        <w:tc>
          <w:tcPr>
            <w:tcW w:type="dxa" w:w="233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1 380–1 410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AFCDEC"/>
                <w:spacing w:val="10"/>
                <w:sz w:val="15"/>
                <w:szCs w:val="15"/>
              </w:rPr>
              <w:t xml:space="preserve">USD/т</w:t>
            </w: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  ·  Цена</w:t>
            </w:r>
          </w:p>
        </w:tc>
        <w:tc>
          <w:tcPr>
            <w:tcW w:type="dxa" w:w="233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3 000–5 000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AFCDEC"/>
                <w:spacing w:val="10"/>
                <w:sz w:val="15"/>
                <w:szCs w:val="15"/>
              </w:rPr>
              <w:t xml:space="preserve">тонн</w:t>
            </w: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  ·  Объём</w:t>
            </w:r>
          </w:p>
        </w:tc>
        <w:tc>
          <w:tcPr>
            <w:tcW w:type="dxa" w:w="233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FOB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Инкотермс 2020</w:t>
            </w:r>
          </w:p>
        </w:tc>
        <w:tc>
          <w:tcPr>
            <w:tcW w:type="dxa" w:w="2340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10–20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AFCDEC"/>
                <w:spacing w:val="10"/>
                <w:sz w:val="15"/>
                <w:szCs w:val="15"/>
              </w:rPr>
              <w:t xml:space="preserve">дней</w:t>
            </w: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  ·  С оплаты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02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О КОМПАНИИ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Вертикальная интеграция логистики, трейдинга и IT позволяет WayStar Group отвечать за поставку на всех этапах.</w:t>
      </w:r>
    </w:p>
    <w:p>
      <w:pPr>
        <w:spacing w:after="60"/>
      </w:pPr>
    </w:p>
    <w:p>
      <w:pPr>
        <w:spacing w:after="16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WayStar Group — группа компаний, объединяющая три направления. Мы работаем напрямую с производителями и переработчиками, а поставку обеспечиваем собственной логистикой группы — от закупа до доставки конечному получателю.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98"/>
        <w:gridCol w:w="180"/>
        <w:gridCol w:w="2998"/>
        <w:gridCol w:w="180"/>
        <w:gridCol w:w="2998"/>
      </w:tblGrid>
      <w:tr>
        <w:tc>
          <w:tcPr>
            <w:tcW w:type="dxa" w:w="2998"/>
            <w:tcBorders>
              <w:top w:val="single" w:color="1668B3" w:sz="26"/>
              <w:left w:val="single" w:color="FFFFFF" w:sz="2"/>
              <w:bottom w:val="single" w:color="FFFFFF" w:sz="2"/>
              <w:right w:val="single" w:color="FFFFFF" w:sz="2"/>
            </w:tcBorders>
            <w:shd w:fill="EEF3F8" w:color="auto" w:val="clear"/>
            <w:tcMar>
              <w:top w:type="dxa" w:w="160"/>
              <w:left w:type="dxa" w:w="160"/>
              <w:bottom w:type="dxa" w:w="170"/>
              <w:right w:type="dxa" w:w="160"/>
            </w:tcMar>
            <w:vAlign w:val="top"/>
          </w:tcPr>
          <w:p>
            <w:pPr>
              <w:spacing w:after="66" w:before="0" w:line="238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2"/>
                <w:szCs w:val="22"/>
              </w:rPr>
              <w:t xml:space="preserve">Логистика</w:t>
            </w:r>
          </w:p>
          <w:p>
            <w:pPr>
              <w:spacing w:after="0" w:line="248" w:lineRule="auto"/>
            </w:pPr>
            <w:r>
              <w:rPr>
                <w:rFonts w:ascii="Montserrat" w:cs="Montserrat" w:eastAsia="Montserrat" w:hAnsi="Montserrat"/>
                <w:color w:val="3C4650"/>
                <w:sz w:val="19"/>
                <w:szCs w:val="19"/>
              </w:rPr>
              <w:t xml:space="preserve">ЖД, авто, авиа и мультимодальные перевозки по Казахстану, СНГ и на экспорт. Собственный и привлечённый парк: пищевые цистерны, крытые вагоны, полувагоны, зерновозы.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2998"/>
            <w:tcBorders>
              <w:top w:val="single" w:color="1668B3" w:sz="26"/>
              <w:left w:val="single" w:color="FFFFFF" w:sz="2"/>
              <w:bottom w:val="single" w:color="FFFFFF" w:sz="2"/>
              <w:right w:val="single" w:color="FFFFFF" w:sz="2"/>
            </w:tcBorders>
            <w:shd w:fill="EEF3F8" w:color="auto" w:val="clear"/>
            <w:tcMar>
              <w:top w:type="dxa" w:w="160"/>
              <w:left w:type="dxa" w:w="160"/>
              <w:bottom w:type="dxa" w:w="170"/>
              <w:right w:type="dxa" w:w="160"/>
            </w:tcMar>
            <w:vAlign w:val="top"/>
          </w:tcPr>
          <w:p>
            <w:pPr>
              <w:spacing w:after="66" w:before="0" w:line="238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2"/>
                <w:szCs w:val="22"/>
              </w:rPr>
              <w:t xml:space="preserve">Трейдинг</w:t>
            </w:r>
          </w:p>
          <w:p>
            <w:pPr>
              <w:spacing w:after="0" w:line="248" w:lineRule="auto"/>
            </w:pPr>
            <w:r>
              <w:rPr>
                <w:rFonts w:ascii="Montserrat" w:cs="Montserrat" w:eastAsia="Montserrat" w:hAnsi="Montserrat"/>
                <w:color w:val="3C4650"/>
                <w:sz w:val="19"/>
                <w:szCs w:val="19"/>
              </w:rPr>
              <w:t xml:space="preserve">Растительные масла, зерновые и масличные культуры, навалочные и инертные грузы. Прямые контракты с переработчиками и прозрачное ценообразование.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2998"/>
            <w:tcBorders>
              <w:top w:val="single" w:color="1668B3" w:sz="26"/>
              <w:left w:val="single" w:color="FFFFFF" w:sz="2"/>
              <w:bottom w:val="single" w:color="FFFFFF" w:sz="2"/>
              <w:right w:val="single" w:color="FFFFFF" w:sz="2"/>
            </w:tcBorders>
            <w:shd w:fill="EEF3F8" w:color="auto" w:val="clear"/>
            <w:tcMar>
              <w:top w:type="dxa" w:w="160"/>
              <w:left w:type="dxa" w:w="160"/>
              <w:bottom w:type="dxa" w:w="170"/>
              <w:right w:type="dxa" w:w="160"/>
            </w:tcMar>
            <w:vAlign w:val="top"/>
          </w:tcPr>
          <w:p>
            <w:pPr>
              <w:spacing w:after="66" w:before="0" w:line="238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2"/>
                <w:szCs w:val="22"/>
              </w:rPr>
              <w:t xml:space="preserve">IT-разработка</w:t>
            </w:r>
          </w:p>
          <w:p>
            <w:pPr>
              <w:spacing w:after="0" w:line="248" w:lineRule="auto"/>
            </w:pPr>
            <w:r>
              <w:rPr>
                <w:rFonts w:ascii="Montserrat" w:cs="Montserrat" w:eastAsia="Montserrat" w:hAnsi="Montserrat"/>
                <w:color w:val="3C4650"/>
                <w:sz w:val="19"/>
                <w:szCs w:val="19"/>
              </w:rPr>
              <w:t xml:space="preserve">Собственные цифровые решения для планирования отгрузок и контроля движения груза на каждом этапе маршрута.</w:t>
            </w:r>
          </w:p>
        </w:tc>
      </w:tr>
    </w:tbl>
    <w:p>
      <w:pPr>
        <w:spacing w:after="17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200+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Маршрутов</w:t>
            </w:r>
          </w:p>
        </w:tc>
        <w:tc>
          <w:tcPr>
            <w:tcW w:type="dxa" w:w="311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150 000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AFCDEC"/>
                <w:spacing w:val="10"/>
                <w:sz w:val="15"/>
                <w:szCs w:val="15"/>
              </w:rPr>
              <w:t xml:space="preserve">т/мес</w:t>
            </w: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  ·  Перевозки</w:t>
            </w:r>
          </w:p>
        </w:tc>
        <w:tc>
          <w:tcPr>
            <w:tcW w:type="dxa" w:w="3118"/>
            <w:shd w:fill="0A3B6B" w:color="auto" w:val="clear"/>
            <w:tcMar>
              <w:top w:type="dxa" w:w="190"/>
              <w:left w:type="dxa" w:w="210"/>
              <w:bottom w:type="dxa" w:w="190"/>
              <w:right w:type="dxa" w:w="150"/>
            </w:tcMar>
            <w:vAlign w:val="top"/>
          </w:tcPr>
          <w:p>
            <w:pPr>
              <w:spacing w:after="34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after="0" w:line="214" w:lineRule="auto"/>
            </w:pPr>
            <w:r>
              <w:rPr>
                <w:rFonts w:ascii="Montserrat" w:cs="Montserrat" w:eastAsia="Montserrat" w:hAnsi="Montserrat"/>
                <w:caps/>
                <w:color w:val="CFE0F1"/>
                <w:spacing w:val="12"/>
                <w:sz w:val="15"/>
                <w:szCs w:val="15"/>
              </w:rPr>
              <w:t xml:space="preserve">Направления бизнеса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03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ПРОДУКТ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Масло подсолнечное нерафинированное по ГОСТ/ТР ТС от проверенных переработчиков.</w:t>
      </w:r>
    </w:p>
    <w:p>
      <w:pPr>
        <w:spacing w:after="60"/>
      </w:pPr>
    </w:p>
    <w:p>
      <w:pPr>
        <w:spacing w:after="18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Продукт может быть поставлен наливом либо в иной таре по согласованию. По запросу предоставляем полный паспорт качества и сертификаты соответствия.</w:t>
      </w:r>
    </w:p>
    <w:p>
      <w:pPr>
        <w:spacing w:after="90" w:before="0" w:line="224" w:lineRule="auto"/>
      </w:pPr>
      <w:r>
        <w:rPr>
          <w:rFonts w:ascii="Montserrat" w:cs="Montserrat" w:eastAsia="Montserrat" w:hAnsi="Montserrat"/>
          <w:b/>
          <w:bCs/>
          <w:color w:val="1668B3"/>
          <w:sz w:val="18"/>
          <w:szCs w:val="18"/>
        </w:rPr>
        <w:t xml:space="preserve">▪  </w:t>
      </w:r>
      <w:r>
        <w:rPr>
          <w:rFonts w:ascii="Montserrat" w:cs="Montserrat" w:eastAsia="Montserrat" w:hAnsi="Montserrat"/>
          <w:b/>
          <w:bCs/>
          <w:color w:val="1D2733"/>
          <w:sz w:val="20"/>
          <w:szCs w:val="20"/>
        </w:rPr>
        <w:t xml:space="preserve">Базовые технические характеристики</w:t>
      </w:r>
    </w:p>
    <w:tbl>
      <w:tblPr>
        <w:tblW w:type="dxa" w:w="9354"/>
        <w:tblBorders>
          <w:top w:val="none" w:color="FFFFFF" w:sz="0"/>
          <w:left w:val="none" w:color="FFFFFF" w:sz="0"/>
          <w:bottom w:val="single" w:color="1668B3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6554"/>
        <w:gridCol w:w="2800"/>
      </w:tblGrid>
      <w:tr>
        <w:trPr>
          <w:tblHeader/>
        </w:trPr>
        <w:tc>
          <w:tcPr>
            <w:tcW w:type="dxa" w:w="6554"/>
            <w:shd w:fill="1668B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14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800"/>
            <w:shd w:fill="1668B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30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14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6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Кислотное число, мг КОН/г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не более 4,0</w:t>
            </w:r>
          </w:p>
        </w:tc>
      </w:tr>
      <w:tr>
        <w:tc>
          <w:tcPr>
            <w:tcW w:type="dxa" w:w="6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Перекисное число, ммоль/кг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не более 10,0</w:t>
            </w:r>
          </w:p>
        </w:tc>
      </w:tr>
      <w:tr>
        <w:tc>
          <w:tcPr>
            <w:tcW w:type="dxa" w:w="6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Массовая доля влаги и летучих веществ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не более 0,20 %</w:t>
            </w:r>
          </w:p>
        </w:tc>
      </w:tr>
      <w:tr>
        <w:tc>
          <w:tcPr>
            <w:tcW w:type="dxa" w:w="6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Цветное число, мг йода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не более 25</w:t>
            </w:r>
          </w:p>
        </w:tc>
      </w:tr>
      <w:tr>
        <w:tc>
          <w:tcPr>
            <w:tcW w:type="dxa" w:w="6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Вкус и запах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свойственные, без посторонних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04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КОММЕРЧЕСКИЕ УСЛОВИЯ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Прозрачные условия с фиксацией цены и гибкими формами оплаты.</w:t>
      </w:r>
    </w:p>
    <w:p>
      <w:pPr>
        <w:spacing w:after="60"/>
      </w:pPr>
    </w:p>
    <w:p>
      <w:pPr>
        <w:spacing w:after="90" w:before="0" w:line="224" w:lineRule="auto"/>
      </w:pPr>
      <w:r>
        <w:rPr>
          <w:rFonts w:ascii="Montserrat" w:cs="Montserrat" w:eastAsia="Montserrat" w:hAnsi="Montserrat"/>
          <w:b/>
          <w:bCs/>
          <w:color w:val="1668B3"/>
          <w:sz w:val="18"/>
          <w:szCs w:val="18"/>
        </w:rPr>
        <w:t xml:space="preserve">▪  </w:t>
      </w:r>
      <w:r>
        <w:rPr>
          <w:rFonts w:ascii="Montserrat" w:cs="Montserrat" w:eastAsia="Montserrat" w:hAnsi="Montserrat"/>
          <w:b/>
          <w:bCs/>
          <w:color w:val="1D2733"/>
          <w:sz w:val="20"/>
          <w:szCs w:val="20"/>
        </w:rPr>
        <w:t xml:space="preserve">Основные коммерческие условия</w:t>
      </w:r>
    </w:p>
    <w:tbl>
      <w:tblPr>
        <w:tblW w:type="dxa" w:w="9354"/>
        <w:tblBorders>
          <w:top w:val="none" w:color="FFFFFF" w:sz="0"/>
          <w:left w:val="none" w:color="FFFFFF" w:sz="0"/>
          <w:bottom w:val="single" w:color="1668B3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6054"/>
      </w:tblGrid>
      <w:tr>
        <w:trPr>
          <w:tblHeader/>
        </w:trPr>
        <w:tc>
          <w:tcPr>
            <w:tcW w:type="dxa" w:w="3300"/>
            <w:shd w:fill="1668B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30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14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054"/>
            <w:shd w:fill="1668B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30" w:lineRule="auto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14"/>
                <w:sz w:val="18"/>
                <w:szCs w:val="18"/>
              </w:rPr>
              <w:t xml:space="preserve">Условие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Продукт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Масло подсолнечное нерафинированное, налив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Цена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1 380–1 410 USD за метрическую тонну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Базис поставки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FOB порт Актау (Инкотермс 2020)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Период поставки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Август 2026 г. (по графику отгрузок)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Доступный объём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3 000–5 000 тонн единовременно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Условия оплаты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100% предоплата / аккредитив / предоплата + расчёт против копий документов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Срок доставки в порт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FFFFFF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10–20 рабочих дней с момента оплаты</w:t>
            </w:r>
          </w:p>
        </w:tc>
      </w:tr>
      <w:tr>
        <w:tc>
          <w:tcPr>
            <w:tcW w:type="dxa" w:w="33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3C4650"/>
                <w:sz w:val="21"/>
                <w:szCs w:val="21"/>
              </w:rPr>
              <w:t xml:space="preserve">Фиксация цены</w:t>
            </w:r>
          </w:p>
        </w:tc>
        <w:tc>
          <w:tcPr>
            <w:tcW w:type="dxa" w:w="60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shd w:fill="EEF3F8" w:color="auto" w:val="clear"/>
            <w:tcMar>
              <w:top w:type="dxa" w:w="96"/>
              <w:left w:type="dxa" w:w="130"/>
              <w:bottom w:type="dxa" w:w="96"/>
              <w:right w:type="dxa" w:w="130"/>
            </w:tcMar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5 (пять) банковских дней для указанного объёма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05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ПОЧЕМУ WAYSTAR GROUP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Контроль над всей цепочкой поставки снижает риски покупателя по срокам, цене и качеству.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Единый ответственный за поставку.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Закуп, транспортировка и подача на борт выполняются силами группы — без разрывов ответственности между подрядчиками.</w:t>
      </w: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Предсказуемые сроки.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Собственный парк и более 200 маршрутов позволяют планировать отгрузки под график судна.</w:t>
      </w: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Прозрачная цена.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Прямая работа с переработчиками исключает наценку посредников; цена фиксируется в спецификации.</w:t>
      </w:r>
    </w:p>
    <w:p>
      <w:pPr>
        <w:pStyle w:val="ListParagraph"/>
        <w:numPr>
          <w:ilvl w:val="0"/>
          <w:numId w:val="2"/>
        </w:numPr>
        <w:spacing w:after="90" w:line="256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D2733"/>
          <w:sz w:val="21"/>
          <w:szCs w:val="21"/>
        </w:rPr>
        <w:t xml:space="preserve">Гибкое финансирование.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3C4650"/>
          <w:sz w:val="21"/>
          <w:szCs w:val="21"/>
        </w:rPr>
        <w:t xml:space="preserve">Несколько форм оплаты — от полной предоплаты до расчёта против отгрузочных документов.</w:t>
      </w:r>
    </w:p>
    <w:p>
      <w:pPr>
        <w:spacing w:after="120"/>
      </w:pP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06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ПОРЯДОК РАБОТЫ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Четыре шага от заявки до отгрузки на борт.</w:t>
      </w:r>
    </w:p>
    <w:p>
      <w:pPr>
        <w:spacing w:after="6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180"/>
        <w:gridCol w:w="8554"/>
      </w:tblGrid>
      <w:tr>
        <w:tc>
          <w:tcPr>
            <w:tcW w:type="dxa" w:w="620"/>
            <w:shd w:fill="1668B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8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Заявка</w:t>
            </w:r>
          </w:p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color w:val="3C4650"/>
                <w:sz w:val="20"/>
                <w:szCs w:val="20"/>
              </w:rPr>
              <w:t xml:space="preserve">Вы направляете объём и желаемые сроки отгрузки.</w:t>
            </w:r>
          </w:p>
        </w:tc>
      </w:tr>
      <w:tr>
        <w:tc>
          <w:tcPr>
            <w:tcW w:type="dxa" w:w="620"/>
            <w:shd w:fill="1668B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8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Спецификация</w:t>
            </w:r>
          </w:p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color w:val="3C4650"/>
                <w:sz w:val="20"/>
                <w:szCs w:val="20"/>
              </w:rPr>
              <w:t xml:space="preserve">Подтверждаем наличие продукции и согласовываем цену, объём, график и форму оплаты.</w:t>
            </w:r>
          </w:p>
        </w:tc>
      </w:tr>
      <w:tr>
        <w:tc>
          <w:tcPr>
            <w:tcW w:type="dxa" w:w="620"/>
            <w:shd w:fill="1668B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8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Оплата и доставка</w:t>
            </w:r>
          </w:p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color w:val="3C4650"/>
                <w:sz w:val="20"/>
                <w:szCs w:val="20"/>
              </w:rPr>
              <w:t xml:space="preserve">После подписания спецификации и выполнения условий оплаты организуем доставку в порт Актау силами логистического дивизиона.</w:t>
            </w:r>
          </w:p>
        </w:tc>
      </w:tr>
      <w:tr>
        <w:tc>
          <w:tcPr>
            <w:tcW w:type="dxa" w:w="620"/>
            <w:shd w:fill="1668B3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/>
        </w:tc>
        <w:tc>
          <w:tcPr>
            <w:tcW w:type="dxa" w:w="85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Отгрузка</w:t>
            </w:r>
          </w:p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color w:val="3C4650"/>
                <w:sz w:val="20"/>
                <w:szCs w:val="20"/>
              </w:rPr>
              <w:t xml:space="preserve">Погрузка на борт и оформление экспортных документов — в координации с представителем покупателя.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Montserrat" w:cs="Montserrat" w:eastAsia="Montserrat" w:hAnsi="Montserrat"/>
          <w:b/>
          <w:bCs/>
          <w:color w:val="1668B3"/>
          <w:sz w:val="20"/>
          <w:szCs w:val="20"/>
        </w:rPr>
        <w:t xml:space="preserve">07  </w:t>
      </w:r>
      <w:r>
        <w:rPr>
          <w:rFonts w:ascii="Montserrat" w:cs="Montserrat" w:eastAsia="Montserrat" w:hAnsi="Montserrat"/>
          <w:b/>
          <w:bCs/>
          <w:color w:val="1668B3"/>
          <w:spacing w:val="24"/>
          <w:sz w:val="20"/>
          <w:szCs w:val="20"/>
        </w:rPr>
        <w:t xml:space="preserve">КОНТАКТЫ</w:t>
      </w:r>
    </w:p>
    <w:p>
      <w:pPr>
        <w:pBdr>
          <w:bottom w:val="single" w:color="1668B3" w:sz="18" w:space="6"/>
        </w:pBdr>
        <w:spacing w:after="60" w:line="276" w:lineRule="auto"/>
      </w:pPr>
      <w:r>
        <w:rPr>
          <w:rFonts w:ascii="Montserrat" w:cs="Montserrat" w:eastAsia="Montserrat" w:hAnsi="Montserrat"/>
          <w:b/>
          <w:bCs/>
          <w:color w:val="1D2733"/>
          <w:sz w:val="30"/>
          <w:szCs w:val="30"/>
        </w:rPr>
        <w:t xml:space="preserve">Готовы обсудить условия и подготовить спецификацию под ваш объём.</w:t>
      </w:r>
    </w:p>
    <w:p>
      <w:pPr>
        <w:spacing w:after="6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754"/>
      </w:tblGrid>
      <w:t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КОМПАНИЯ</w:t>
            </w:r>
          </w:p>
        </w:tc>
        <w:tc>
          <w:tcPr>
            <w:tcW w:type="dxa" w:w="67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ТОО «WayStar Group»</w:t>
            </w:r>
          </w:p>
        </w:tc>
      </w:tr>
      <w:t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ТЕЛЕФОН</w:t>
            </w:r>
          </w:p>
        </w:tc>
        <w:tc>
          <w:tcPr>
            <w:tcW w:type="dxa" w:w="67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+7 775 939 98 45</w:t>
            </w:r>
          </w:p>
        </w:tc>
      </w:tr>
      <w:t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E-MAIL</w:t>
            </w:r>
          </w:p>
        </w:tc>
        <w:tc>
          <w:tcPr>
            <w:tcW w:type="dxa" w:w="67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info@waystarco.com</w:t>
            </w:r>
          </w:p>
        </w:tc>
      </w:tr>
      <w:t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САЙТ</w:t>
            </w:r>
          </w:p>
        </w:tc>
        <w:tc>
          <w:tcPr>
            <w:tcW w:type="dxa" w:w="67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www.waystar.kz</w:t>
            </w:r>
          </w:p>
        </w:tc>
      </w:tr>
      <w:t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ontserrat" w:cs="Montserrat" w:eastAsia="Montserrat" w:hAnsi="Montserrat"/>
                <w:b/>
                <w:bCs/>
                <w:color w:val="6B7682"/>
                <w:spacing w:val="16"/>
                <w:sz w:val="16"/>
                <w:szCs w:val="16"/>
              </w:rPr>
              <w:t xml:space="preserve">АДРЕС</w:t>
            </w:r>
          </w:p>
        </w:tc>
        <w:tc>
          <w:tcPr>
            <w:tcW w:type="dxa" w:w="6754"/>
            <w:tcBorders>
              <w:top w:val="single" w:color="FFFFFF" w:sz="2"/>
              <w:left w:val="single" w:color="FFFFFF" w:sz="2"/>
              <w:bottom w:val="single" w:color="D8DEE6" w:sz="4"/>
              <w:right w:val="single" w:color="FFFFFF" w:sz="2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44" w:lineRule="auto"/>
            </w:pPr>
            <w:r>
              <w:rPr>
                <w:rFonts w:ascii="Montserrat" w:cs="Montserrat" w:eastAsia="Montserrat" w:hAnsi="Montserrat"/>
                <w:b/>
                <w:bCs/>
                <w:color w:val="1D2733"/>
                <w:sz w:val="21"/>
                <w:szCs w:val="21"/>
              </w:rPr>
              <w:t xml:space="preserve">010000, Казахстан, г. Астана, р-н Есиль, ул. Сығанақ, 60/4, БЦ «Abu Dhabi Plaza», блок А, эт. 11, офис 1107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276" w:bottom="1418" w:left="1276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F1" w:fontKey="{35112379-DC9F-4BEC-AA20-33144580764A}"/>
    <w:embedBold r:id="rIdF2" w:fontKey="{A08F77C5-B175-45B2-A9A5-D29A6D071874}"/>
    <w:embedItalic r:id="rIdF3" w:fontKey="{8D135248-834F-45DC-B767-3BA1AEAF2715}"/>
    <w:embedBoldItalic r:id="rIdF4" w:fontKey="{E749A220-F525-424F-88BE-45ADB0ADE2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tabs>
        <w:tab w:val="right" w:pos="9354"/>
      </w:tabs>
      <w:spacing w:after="0" w:before="0" w:line="220" w:lineRule="auto"/>
    </w:pPr>
    <w:r>
      <w:rPr>
        <w:rFonts w:ascii="Montserrat" w:cs="Montserrat" w:eastAsia="Montserrat" w:hAnsi="Montserrat"/>
        <w:color w:val="6B7682"/>
        <w:sz w:val="15"/>
        <w:szCs w:val="15"/>
      </w:rPr>
      <w:t xml:space="preserve">ТОО «WayStar Group» · Конфиденциально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7682"/>
        <w:sz w:val="15"/>
        <w:szCs w:val="15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754"/>
      <w:gridCol w:w="2600"/>
    </w:tblGrid>
    <w:tr>
      <w:tc>
        <w:tcPr>
          <w:tcW w:type="dxa" w:w="675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0"/>
            <w:bottom w:type="dxa" w:w="90"/>
            <w:right w:type="dxa" w:w="13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1239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0"/>
          </w:tcMar>
          <w:vAlign w:val="center"/>
        </w:tcPr>
        <w:p>
          <w:pPr>
            <w:spacing w:after="0" w:line="220" w:lineRule="auto"/>
            <w:jc w:val="right"/>
          </w:pPr>
          <w:r>
            <w:rPr>
              <w:rFonts w:ascii="Montserrat" w:cs="Montserrat" w:eastAsia="Montserrat" w:hAnsi="Montserrat"/>
              <w:color w:val="6B7682"/>
              <w:spacing w:val="8"/>
              <w:sz w:val="15"/>
              <w:szCs w:val="15"/>
            </w:rPr>
            <w:t xml:space="preserve">Коммерческое предложение</w:t>
          </w:r>
        </w:p>
      </w:tc>
    </w:tr>
  </w:tbl>
  <w:p>
    <w:pPr>
      <w:pBdr>
        <w:bottom w:val="single" w:color="D8DEE6" w:sz="6" w:space="2"/>
      </w:pBdr>
      <w:spacing w:after="0" w:before="40"/>
    </w:pPr>
    <w:r>
      <w:rPr>
        <w:rFonts w:ascii="Montserrat" w:cs="Montserrat" w:eastAsia="Montserrat" w:hAnsi="Montserrat"/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30"/>
      </w:pPr>
      <w:rPr>
        <w:color w:val="1668B3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3C46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382b754e890f0a21a1bafbe400a91035f2d423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382b754e890f0a21a1bafbe400a91035f2d42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2026-08-03T11:48:52.099Z</dcterms:created>
  <dcterms:modified xsi:type="dcterms:W3CDTF">2026-08-03T11:48:52.101Z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