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1117"/>
          <w:sz w:val="72"/>
          <w:szCs w:val="72"/>
        </w:rPr>
        <w:t xml:space="preserve">NEXUS 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C8A96E"/>
          <w:sz w:val="36"/>
          <w:szCs w:val="36"/>
        </w:rPr>
        <w:t xml:space="preserve">官网技术文档与升级手册</w:t>
      </w:r>
    </w:p>
    <w:p>
      <w:pPr>
        <w:pBdr>
          <w:bottom w:val="single" w:color="C8A96E" w:sz="6" w:space="1"/>
        </w:pBdr>
        <w:spacing w:before="0" w:after="240"/>
      </w:pP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A8099"/>
          <w:sz w:val="24"/>
          <w:szCs w:val="24"/>
        </w:rPr>
        <w:t xml:space="preserve">Website Technical Documentation &amp; Upgrade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A3548" w:sz="2"/>
              <w:right w:val="none" w:color="FFFFFF" w:sz="0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8099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A3548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A3548" w:sz="2"/>
              <w:right w:val="none" w:color="FFFFFF" w:sz="0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8099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A3548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2026年3月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A3548" w:sz="2"/>
              <w:right w:val="none" w:color="FFFFFF" w:sz="0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8099"/>
                <w:sz w:val="20"/>
                <w:szCs w:val="20"/>
              </w:rPr>
              <w:t xml:space="preserve">适用项目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A3548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NEXUS AI 官网首页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A3548" w:sz="2"/>
              <w:right w:val="none" w:color="FFFFFF" w:sz="0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8099"/>
                <w:sz w:val="20"/>
                <w:szCs w:val="20"/>
              </w:rPr>
              <w:t xml:space="preserve">技术栈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A3548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原生 HTML / CSS / JavaScript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A3548" w:sz="2"/>
              <w:right w:val="none" w:color="FFFFFF" w:sz="0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8099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A3548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 Pages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A3548" w:sz="2"/>
              <w:right w:val="none" w:color="FFFFFF" w:sz="0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8099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A3548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正式发布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8" w:space="4"/>
        </w:pBdr>
        <w:spacing w:before="480"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一、项目概览</w:t>
      </w: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1.1 项目定位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NEXUS AI 官网是一个面向全球受众的 AI 机构展示型官网首页，定位为「科技 · 正规 · 高大上」，核心目标是向研究机构、产业伙伴、投资方传递机构形象与专业信誉。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本网站采用纯原生 HTML + CSS + JavaScript 单文件架构，无需任何框架或构建工具，可直接在 Cloudflare Pages 上部署。</w:t>
      </w:r>
    </w:p>
    <w:p>
      <w:pPr>
        <w:spacing w:before="12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1.2 功能特性总览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多语言系统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中文 / English / 日本語，浏览器语言自动检测 + localStorage 记忆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顶部导航栏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Logo + 五个一级菜单（含三个带下拉子菜单），滚动后毛玻璃背景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移动端菜单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汉堡按钮 + 右侧抽屉滑入，含子菜单展开、遮罩层、语言切换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粒子背景动画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Canvas 绘制 80 个粒子 + 连线，金色/青色双色系，全页固定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Hero 首屏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超大字体标题 + 副标题 + CTA 按钮 + 右侧数据指标 + 滚动提示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关于我们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双栏布局 + 六边形脉冲 SVG 动画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三大战略方向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研究 / 产业 / 投资三栏卡片，悬停动效 + 图标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宣言引文区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全宽深色背景大字引用排版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AI 时代坐标轴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纵向时间线三节点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合作院校展示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六所机构标签矩阵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页脚 CTA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联系合作召唤区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四栏扩展页脚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品牌 / 导航 / 资源 / 联系，含邮件订阅占位、社交入口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自定义光标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金色圆点 + 跟随光环，悬停放大效果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滚动入场动画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IntersectionObserver 触发 fadeUp 动效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2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响应式布局</w:t>
            </w:r>
          </w:p>
        </w:tc>
        <w:tc>
          <w:tcPr>
            <w:tcW w:type="dxa" w:w="38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≤900px 移动端，≤1100px 平板端自适应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已实现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8" w:space="4"/>
        </w:pBdr>
        <w:spacing w:before="480"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二、技术架构</w:t>
      </w: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2.1 文件结构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本项目采用极简单文件架构，整个官网仅由一个 HTML 文件构成：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nexus-ai-website/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index.html          ← 唯一源文件（约 2000 行，含全部 CSS、JS）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README.md           ← 项目说明（建议创建）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└── .gitignore          ← Git 忽略文件（建议创建）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980B9"/>
                <w:sz w:val="4"/>
                <w:szCs w:val="4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2980B9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💡 提示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所有样式（CSS）和逻辑（JavaScript）均内嵌于 index.html，无外部依赖文件。唯一的外部依赖是 Google Fonts（字体加载），离线环境下会降级为系统字体。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2.2 CSS 架构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采用 CSS Custom Properties（变量）统一管理设计系统，所有颜色、间距均通过变量引用：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:root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--bg:       #04060f;    /* 页面深空背景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--surface:  #070b18;    /* 卡片/区块次级背景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--gold:     #c8a96e;    /* 主品牌金色（标题/强调/边框）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--gold-dim: #8a6f3f;    /* 金色暗调（悬停/次要）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--cyan:     #4ab8d4;    /* 科技青色（section tag/粒子）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--white:    #e8eaf0;    /* 主文字色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--white-dim:#7a8099;    /* 次要文字/说明文字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--border:   rgba(200,169,110,0.15);  /* 分割线/边框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2.3 JavaScript 模块划分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关键函数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i18n 国际化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18"/>
                <w:szCs w:val="18"/>
              </w:rPr>
              <w:t xml:space="preserve">setLang(lang) / detectLang()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语言切换、翻译文本注入、LocalStorage 记忆、placeholder 同步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导航交互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18"/>
                <w:szCs w:val="18"/>
              </w:rPr>
              <w:t xml:space="preserve">toggleNav(id) / toggleLangDropdown()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桌面端下拉菜单开合、点击外部关闭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移动端菜单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18"/>
                <w:szCs w:val="18"/>
              </w:rPr>
              <w:t xml:space="preserve">toggleDrawer() / closeDrawer() / toggleMobileSub()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抽屉开关、遮罩、子菜单展开、滚动锁定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Canvas 粒子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18"/>
                <w:szCs w:val="18"/>
              </w:rPr>
              <w:t xml:space="preserve">class Particle / initParticles() / drawConnections() / animate()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粒子初始化、边界反弹、连线渲染、requestAnimationFrame 循环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自定义光标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18"/>
                <w:szCs w:val="18"/>
              </w:rPr>
              <w:t xml:space="preserve">animateCursor()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光环跟随鼠标、悬停缩放动效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滚动监听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18"/>
                <w:szCs w:val="18"/>
              </w:rPr>
              <w:t xml:space="preserve">IntersectionObserver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元素进入视口触发 .visible 类，触发 CSS 入场动画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导航滚动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18"/>
                <w:szCs w:val="18"/>
              </w:rPr>
              <w:t xml:space="preserve">window scroll event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滚动超过 80px 后触发 nav.scrolled，毛玻璃背景激活</w:t>
            </w:r>
          </w:p>
        </w:tc>
      </w:tr>
    </w:tbl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2.4 字体系统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英文衬线字体 · 用于 Hero 大标题、Section 标题、数字展示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Noto Serif SC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中文衬线字体 · 用于所有中文大标题，与 Cormorant 配对使用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Space Mono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等宽字体 · 用于标签、导航链接、数字指标、版权信息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DM Sans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无衬线字体 · 用于正文、描述段落、按钮文字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7AE60"/>
                <w:sz w:val="4"/>
                <w:szCs w:val="4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27AE60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建议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所有字体均通过 Google Fonts CDN 加载，网络正常情况下自动缓存。如需离线或自托管字体，可将字体文件下载后以 @font-face 方式引入。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8" w:space="4"/>
        </w:pBdr>
        <w:spacing w:before="480"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三、部署到 Cloudflare Pages</w:t>
      </w: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3.1 部署流程（GitHub + Cloudflare Pages）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推荐采用 GitHub → Cloudflare Pages 自动化部署流程，每次推送代码后网站自动更新，无需手动操作。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第一步：初始化 GitHub 仓库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登录 GitHub，点击右上角「+」→「New repository」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仓库名称建议：nexus-ai-website（或自定义）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设置为 Public（Cloudflare Pages 免费计划支持）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不勾选「Initialize this repository with a README」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点击「Create repository」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第二步：上传代码到 GitHub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在本地电脑上打开终端（Mac/Linux）或 Git Bash（Windows），执行以下命令：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1. 创建本地项目文件夹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mkdir nexus-ai-website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cd nexus-ai-website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2. 将 index.html 文件放入此文件夹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3. 初始化 Git 仓库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git init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4. 添加所有文件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git add .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5. 提交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git commit -m "Initial commit: NEXUS AI website"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6. 连接到 GitHub（替换 YOUR_USERNAME 为你的 GitHub 用户名）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git remote add origin https://github.com/YOUR_USERNAME/nexus-ai-website.git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7. 推送到 GitHub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git branch -M main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第三步：在 Cloudflare 创建 Pages 项目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访问 https://dash.cloudflare.com，登录账户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左侧菜单选择「Workers &amp; Pages」→「Pages」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点击「Create a project」→「Connect to Git」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选择「GitHub」，授权 Cloudflare 访问你的 GitHub 账户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选择仓库「nexus-ai-website」，点击「Begin setup」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第四步：配置构建设置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由于本项目是纯静态 HTML，无需任何构建步骤：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</w:tr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nexus-ai（或自定义，影响子域名）</w:t>
            </w:r>
          </w:p>
        </w:tc>
      </w:tr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Production branch</w:t>
            </w:r>
          </w:p>
        </w:tc>
        <w:tc>
          <w:tcPr>
            <w:tcW w:type="dxa" w:w="6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Framework preset</w:t>
            </w:r>
          </w:p>
        </w:tc>
        <w:tc>
          <w:tcPr>
            <w:tcW w:type="dxa" w:w="6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None（选择「None」）</w:t>
            </w:r>
          </w:p>
        </w:tc>
      </w:tr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留空（不填写任何内容）</w:t>
            </w:r>
          </w:p>
        </w:tc>
      </w:tr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Build output directory</w:t>
            </w:r>
          </w:p>
        </w:tc>
        <w:tc>
          <w:tcPr>
            <w:tcW w:type="dxa" w:w="6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/（根目录，填写斜杠）或直接留空</w:t>
            </w:r>
          </w:p>
        </w:tc>
      </w:tr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6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留空</w:t>
            </w:r>
          </w:p>
        </w:tc>
      </w:tr>
    </w:tbl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点击「Save and Deploy」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等待约 30-60 秒，部署完成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Cloudflare 会分配一个 .pages.dev 子域名，例如：nexus-ai.pages.dev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第五步：绑定自定义域名（可选）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在 Pages 项目页面，点击「Custom domains」→「Set up a custom domain」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输入你的域名（如 nexusai.institute），点击「Continue」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按提示在域名 DNS 设置中添加 CNAME 记录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等待 DNS 生效（通常 5-30 分钟）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7AE60"/>
                <w:sz w:val="4"/>
                <w:szCs w:val="4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27AE60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建议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如果域名也在 Cloudflare 管理，DNS 配置会自动完成，无需手动操作。</w:t>
            </w:r>
          </w:p>
        </w:tc>
      </w:tr>
    </w:tbl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3.2 后续更新流程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一旦完成首次部署，后续每次修改只需 3 个命令：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修改 index.html 后，在项目目录执行：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git add .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git commit -m "描述本次修改内容"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git push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Cloudflare Pages 会自动检测到推送并重新部署，约 30 秒内生效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980B9"/>
                <w:sz w:val="4"/>
                <w:szCs w:val="4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2980B9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💡 提示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 Pages 免费计划每月提供 500 次构建次数，对于日常维护的官网来说完全足够。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8" w:space="4"/>
        </w:pBdr>
        <w:spacing w:before="480"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四、多语言系统使用指南</w:t>
      </w: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4.1 数据结构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所有翻译文本集中存储在 JavaScript 的 i18n 对象中，结构如下：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i18n =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zh: {                          // 中文版本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nav_about: '关于我们',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hero_label: '下一代人工智能研究院',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pillar_research_desc: '...',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... 更多键值对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en: {                          // 英文版本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nav_about: 'About',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hero_label: 'NEXT-GENERATION AI INSTITUTE',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...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ja: {                          // 日文版本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nav_about: '私たちについて',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...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4.2 如何添加新的翻译文本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以添加一段新的文字描述为例，分三步完成：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步骤 1 — 在 HTML 中添加占位元素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&lt;!-- 使用 data-i18n 属性标记需要翻译的元素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&lt;p data-i18n="my_new_key"&gt;&lt;/p&gt;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&lt;!-- 对于 placeholder 属性（如 input 框），使用 data-i18n-placeholder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&lt;input data-i18n-placeholder="my_input_placeholder" /&gt;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步骤 2 — 在三种语言的 i18n 对象中添加键值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i18n =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zh: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...已有内容...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my_new_key: '这里填写中文内容',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my_input_placeholder: '中文占位符',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en: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...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my_new_key: 'English content here',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my_input_placeholder: 'English placeholder',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ja: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...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my_new_key: '日本語のコンテンツ',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my_input_placeholder: '日本語プレースホルダー',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步骤 3 — 无需额外操作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setLang() 函数会自动扫描所有带 data-i18n 属性的元素并注入对应语言文本，无需修改任何 JS 逻辑。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E67E22"/>
                <w:sz w:val="4"/>
                <w:szCs w:val="4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E67E22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注意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对于中英日三语言中字符数量差异较大的区块（如导航、按钮），需要在 CSS 中检查是否有宽度溢出问题，日文通常最长。</w:t>
            </w:r>
          </w:p>
        </w:tc>
      </w:tr>
    </w:tbl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4.3 添加新语言（以韩语为例）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在 i18n 对象中新增 ko: { ... } 键，填写所有翻译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在导航语言下拉菜单 HTML 中添加新按钮：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&lt;button class="lang-option" onclick="setLang('ko')" id="opt-ko"&gt;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&lt;span class="lang-flag"&gt;🇰🇷&lt;/span&gt; 한국어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&lt;/button&gt;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在移动端抽屉的语言选择区添加对应按钮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在 setLang() 的 labels 对象中添加：ko: '한국어'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对于需要按语言切换显示内容块（如标题），新增 .ko 类和对应 CSS 规则：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html[lang="ko"] .zh { display: none; }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html[lang="ko"] .ko { display: block;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8" w:space="4"/>
        </w:pBdr>
        <w:spacing w:before="480"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五、内容编辑指南</w:t>
      </w: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5.1 修改各区块内容的位置索引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区块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修改位置</w:t>
            </w:r>
          </w:p>
        </w:tc>
        <w:tc>
          <w:tcPr>
            <w:tcW w:type="dxa" w:w="36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Logo 文字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20"/>
                <w:szCs w:val="20"/>
              </w:rPr>
              <w:t xml:space="preserve">HTML 中所有 NEXUS AI 文本</w:t>
            </w:r>
          </w:p>
        </w:tc>
        <w:tc>
          <w:tcPr>
            <w:tcW w:type="dxa" w:w="36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共 3 处（导航、移动菜单、页脚）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Hero 标题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20"/>
                <w:szCs w:val="20"/>
              </w:rPr>
              <w:t xml:space="preserve">HTML &lt;h1&gt; 标签内 .zh/.en/.ja span</w:t>
            </w:r>
          </w:p>
        </w:tc>
        <w:tc>
          <w:tcPr>
            <w:tcW w:type="dxa" w:w="36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直接修改标签内文字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Hero 副标题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20"/>
                <w:szCs w:val="20"/>
              </w:rPr>
              <w:t xml:space="preserve">i18n 对象中 hero_desc 键</w:t>
            </w:r>
          </w:p>
        </w:tc>
        <w:tc>
          <w:tcPr>
            <w:tcW w:type="dxa" w:w="36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三语版本各自修改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统计数据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20"/>
                <w:szCs w:val="20"/>
              </w:rPr>
              <w:t xml:space="preserve">HTML 中 .stat-num 元素</w:t>
            </w:r>
          </w:p>
        </w:tc>
        <w:tc>
          <w:tcPr>
            <w:tcW w:type="dxa" w:w="36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2019 / 47+ / 18 三个数字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关于我们文字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20"/>
                <w:szCs w:val="20"/>
              </w:rPr>
              <w:t xml:space="preserve">i18n 对象中 about_text 键</w:t>
            </w:r>
          </w:p>
        </w:tc>
        <w:tc>
          <w:tcPr>
            <w:tcW w:type="dxa" w:w="36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三语版本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三大方向描述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20"/>
                <w:szCs w:val="20"/>
              </w:rPr>
              <w:t xml:space="preserve">i18n 对象中 pillar_*_desc 键</w:t>
            </w:r>
          </w:p>
        </w:tc>
        <w:tc>
          <w:tcPr>
            <w:tcW w:type="dxa" w:w="36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research / industry / invest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宣言引文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20"/>
                <w:szCs w:val="20"/>
              </w:rPr>
              <w:t xml:space="preserve">HTML 中 .manifesto-quote 内 span</w:t>
            </w:r>
          </w:p>
        </w:tc>
        <w:tc>
          <w:tcPr>
            <w:tcW w:type="dxa" w:w="36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按语言修改对应 .zh/.en/.ja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时间线内容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20"/>
                <w:szCs w:val="20"/>
              </w:rPr>
              <w:t xml:space="preserve">i18n 对象中 timeline_1/2/3 键</w:t>
            </w:r>
          </w:p>
        </w:tc>
        <w:tc>
          <w:tcPr>
            <w:tcW w:type="dxa" w:w="36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三段时间线各自修改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合作院校名称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20"/>
                <w:szCs w:val="20"/>
              </w:rPr>
              <w:t xml:space="preserve">HTML 中 .partner-item 元素</w:t>
            </w:r>
          </w:p>
        </w:tc>
        <w:tc>
          <w:tcPr>
            <w:tcW w:type="dxa" w:w="36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共 6 个，直接修改文字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联系邮箱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20"/>
                <w:szCs w:val="20"/>
              </w:rPr>
              <w:t xml:space="preserve">HTML 中 mailto: 和页脚邮箱文本</w:t>
            </w:r>
          </w:p>
        </w:tc>
        <w:tc>
          <w:tcPr>
            <w:tcW w:type="dxa" w:w="36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两处：CTA 按钮链接 + 页脚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页脚社交链接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20"/>
                <w:szCs w:val="20"/>
              </w:rPr>
              <w:t xml:space="preserve">HTML 中 .social-link 的 href 属性</w:t>
            </w:r>
          </w:p>
        </w:tc>
        <w:tc>
          <w:tcPr>
            <w:tcW w:type="dxa" w:w="36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LinkedIn/X/GitHub/Email 四个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导航子菜单链接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980B9"/>
                <w:sz w:val="20"/>
                <w:szCs w:val="20"/>
              </w:rPr>
              <w:t xml:space="preserve">HTML 中 .nav-sub a 和 .mobile-sub a 的 href</w:t>
            </w:r>
          </w:p>
        </w:tc>
        <w:tc>
          <w:tcPr>
            <w:tcW w:type="dxa" w:w="36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将 # 替换为实际页面 URL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5.2 替换机构名称（品牌定制）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如需将「NEXUS AI」替换为实际机构名称，需修改以下位置：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HTML 文件中所有 NEXUS AI 文本（约 8 处）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浏览器标签页标题：&lt;title&gt; 标签内容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i18n 对象中所有引用机构名的文本段落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页脚版权行：© 2026 NEXUS AI INSTITUTE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页脚联系邮箱域名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7AE60"/>
                <w:sz w:val="4"/>
                <w:szCs w:val="4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27AE60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建议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建议使用编辑器的「全局查找替换」功能（通常快捷键 Ctrl+H 或 Cmd+H），将 NEXUS AI 替换为实际名称，可一次性完成所有替换。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8" w:space="4"/>
        </w:pBdr>
        <w:spacing w:before="480"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六、导航菜单扩展指南</w:t>
      </w: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6.1 将占位链接替换为真实页面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当前导航子菜单的所有链接均指向 #（占位符），待业务页面就绪后，按以下方式替换：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&lt;!-- 修改前：占位链接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&lt;a href="#" data-i18n="nav_research_sub1"&gt;&lt;/a&gt;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&lt;!-- 修改后：真实页面链接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&lt;a href="/research/foundation-models" data-i18n="nav_research_sub1"&gt;&lt;/a&gt;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&lt;!-- 或外部链接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&lt;a href="https://papers.nexusai.institute" target="_blank" data-i18n="nav_research_sub1"&gt;&lt;/a&gt;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E67E22"/>
                <w:sz w:val="4"/>
                <w:szCs w:val="4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E67E22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注意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每个带下拉菜单的导航项需要同时修改两处：桌面端 .nav-sub 中的链接和移动端 .mobile-sub 中的链接，两者保持一致。</w:t>
            </w:r>
          </w:p>
        </w:tc>
      </w:tr>
    </w:tbl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6.2 添加新的一级菜单项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如需在导航中增加新的一级菜单项（如「媒体」「关于」等），在桌面端和移动端各添加一组：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&lt;!-- 桌面端：在 &lt;ul class="nav-links"&gt; 内添加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&lt;li class="nav-item"&gt;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&lt;a href="/media" data-i18n="nav_media"&gt;&lt;/a&gt;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&lt;/li&gt;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&lt;!-- 桌面端（带子菜单）：添加到 &lt;ul class="nav-links"&gt; 内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&lt;li class="nav-item" id="navMedia"&gt;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&lt;button class="nav-link-btn" onclick="toggleNav('navMedia')"&gt;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&lt;span data-i18n="nav_media"&gt;&lt;/span&gt;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&lt;svg viewBox="0 0 10 6" ...&gt;...&lt;/svg&gt;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&lt;/button&gt;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&lt;div class="nav-sub"&gt;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&lt;a href="/news" data-i18n="nav_media_news"&gt;&lt;/a&gt;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&lt;a href="/press" data-i18n="nav_media_press"&gt;&lt;/a&gt;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&lt;/div&gt;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&lt;/li&gt;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&lt;!-- 移动端：在 &lt;div id="mobileDrawer"&gt; 内对应位置添加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&lt;div class="mobile-nav-section"&gt;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&lt;a href="/media" class="mobile-nav-link" onclick="closeDrawer()"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data-i18n="nav_media"&gt;&lt;/a&gt;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&lt;/div&gt;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&lt;!-- 在 i18n 中添加对应翻译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nav_media: '媒体',  nav_media_news: '新闻动态',  nav_media_press: '媒体资源',</w:t>
            </w:r>
          </w:p>
        </w:tc>
      </w:tr>
    </w:tbl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6.3 添加多页面子站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如果业务扩展需要多个独立页面，建议保持同样的设计体系，新建独立 HTML 文件：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nexus-ai-website/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index.html              ← 官网首页（现有）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research/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└── index.html          ← 研究频道首页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industry/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└── index.html          ← 产业频道首页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invest/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└── index.html          ← 投资频道首页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└── about/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└── index.html          ← 关于我们详情页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980B9"/>
                <w:sz w:val="4"/>
                <w:szCs w:val="4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2980B9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💡 提示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 Pages 完全支持多页面目录结构，无需任何额外配置，直接在 GitHub 仓库中创建对应文件夹和 index.html 即可访问。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8" w:space="4"/>
        </w:pBdr>
        <w:spacing w:before="480"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七、设计风格定制指南</w:t>
      </w: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7.1 修改品牌色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所有颜色通过 CSS 变量统一控制，只需修改 :root {} 中的变量值即可全局生效：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:root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/* 如需换成蓝色调科技风，可替换为以下配置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--gold:     #4A90D9;    /* 主色：科技蓝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--gold-dim: #2C6FAC;    /* 主色暗调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--cyan:     #00D4FF;    /* 辅助色：亮青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/* 如需换成绿色调（生态/可持续主题）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--gold:     #3DAA6B;    /* 主色：翠绿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--gold-dim: #2A7A4C;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--cyan:     #00E5A0;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E67E22"/>
                <w:sz w:val="4"/>
                <w:szCs w:val="4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E67E22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注意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修改主色后，需同时检查按钮 .btn-primary、Logo 徽标 .logo-mark、导航激活状态等使用硬编码颜色的位置（约 3-5 处），确保视觉统一。</w:t>
            </w:r>
          </w:p>
        </w:tc>
      </w:tr>
    </w:tbl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7.2 替换背景效果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当前粒子连线背景由 Canvas 驱动，如需替换为其他科技感背景方案：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方案 A：静态网格背景（性能最优）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/* 在 body 样式中添加 */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body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background-image: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linear-gradient(rgba(74,184,212,0.05) 1px, transparent 1px),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linear-gradient(90deg, rgba(74,184,212,0.05) 1px, transparent 1px);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background-size: 60px 60px;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/* 同时将 Canvas 动画注释掉或删除 */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方案 B：渐变噪点背景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body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background: radial-gradient(ellipse at 20% 20%, rgba(74,184,212,0.08) 0%, transparent 50%),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radial-gradient(ellipse at 80% 80%, rgba(200,169,110,0.06) 0%, transparent 50%),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var(--bg);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7.3 修改动画参数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粒子数量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修改 initParticles() 中 length: 80 → 数字越大粒子越多，性能消耗越高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粒子速度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修改 Particle.reset() 中 * 0.3 → 数字越大移动越快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连线距离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修改 drawConnections() 中 dist &lt; 150 → 数字越大连线越多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入场动画速度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修改 .reveal 的 transition: 0.9s → 数字越小动画越快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入场触发阈值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修改 IntersectionObserver 中 threshold: 0.15 → 0 表示一进入视口就触发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8" w:space="4"/>
        </w:pBdr>
        <w:spacing w:before="480"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八、页脚内容扩展指南</w:t>
      </w: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8.1 当前页脚结构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页脚采用四栏布局，从左到右依次为：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品牌栏：Logo + 机构简介 + 社交媒体图标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导航栏：快速链接（占位，链接到各页面）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资源栏：研究报告、论文、白皮书等下载入口（占位）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联系栏：总部地址、邮箱 + 邮件订阅框（占位）</w:t>
      </w:r>
    </w:p>
    <w:p>
      <w:pPr>
        <w:spacing w:before="8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8.2 激活社交媒体链接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将 .social-link 的 href="#" 替换为真实链接：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&lt;!-- 社交媒体链接（在页脚 .footer-social 内）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&lt;a href="https://linkedin.com/company/nexusai" class="social-link"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target="_blank" rel="noopener"&gt;in&lt;/a&gt;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&lt;a href="https://x.com/nexusai" class="social-link"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target="_blank" rel="noopener"&gt;𝕏&lt;/a&gt;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&lt;a href="https://github.com/nexusai" class="social-link"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target="_blank" rel="noopener"&gt;gh&lt;/a&gt;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&lt;a href="mailto:contact@nexusai.institute" class="social-link"&gt;@&lt;/a&gt;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8.3 接入邮件订阅服务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当前邮件订阅框为静态 HTML 占位，可对接以下第三方服务：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4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接入方式</w:t>
            </w:r>
          </w:p>
        </w:tc>
      </w:tr>
      <w:tr>
        <w:tc>
          <w:tcPr>
            <w:tcW w:type="dxa" w:w="2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Mailchimp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功能最全，有免费计划</w:t>
            </w:r>
          </w:p>
        </w:tc>
        <w:tc>
          <w:tcPr>
            <w:tcW w:type="dxa" w:w="4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替换 form action 为 Mailchimp 嵌入表单地址</w:t>
            </w:r>
          </w:p>
        </w:tc>
      </w:tr>
      <w:tr>
        <w:tc>
          <w:tcPr>
            <w:tcW w:type="dxa" w:w="2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开发者友好，API 简洁</w:t>
            </w:r>
          </w:p>
        </w:tc>
        <w:tc>
          <w:tcPr>
            <w:tcW w:type="dxa" w:w="4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通过 Cloudflare Workers 调用 Resend API</w:t>
            </w:r>
          </w:p>
        </w:tc>
      </w:tr>
      <w:tr>
        <w:tc>
          <w:tcPr>
            <w:tcW w:type="dxa" w:w="2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Buttondown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极简、适合独立发布者</w:t>
            </w:r>
          </w:p>
        </w:tc>
        <w:tc>
          <w:tcPr>
            <w:tcW w:type="dxa" w:w="4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使用 Buttondown 提供的嵌入表单代码</w:t>
            </w:r>
          </w:p>
        </w:tc>
      </w:tr>
      <w:tr>
        <w:tc>
          <w:tcPr>
            <w:tcW w:type="dxa" w:w="2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ConvertKit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营销功能强大</w:t>
            </w:r>
          </w:p>
        </w:tc>
        <w:tc>
          <w:tcPr>
            <w:tcW w:type="dxa" w:w="4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嵌入 ConvertKit 的 HTML 表单代码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8" w:space="4"/>
        </w:pBdr>
        <w:spacing w:before="480"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九、SEO 与性能优化建议</w:t>
      </w: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9.1 SEO 基础配置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当前 index.html 的 &lt;head&gt; 区域仅有基础 meta 标签，建议上线前补充以下内容：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&lt;head&gt;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&lt;meta charset="UTF-8"&gt;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&lt;meta name="viewport" content="width=device-width, initial-scale=1.0"&gt;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&lt;!-- SEO 基础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&lt;title&gt;NEXUS AI — 智能未来研究院 | AI Research Institute&lt;/title&gt;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&lt;meta name="description" content="Nexus AI 研究院致力于探索人工智能的深层规律，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融合前沿研究、产业赋能与战略投资，推动人类迈向更智慧的文明形态。"&gt;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&lt;meta name="keywords" content="人工智能,AI研究,产业投资,机器学习,AGI"&gt;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&lt;link rel="canonical" href="https://nexusai.institute/"&gt;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&lt;!-- Open Graph (社交媒体分享预览)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&lt;meta property="og:title" content="NEXUS AI — 智能未来研究院"&gt;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&lt;meta property="og:description" content="探索 AI 的无限未来"&gt;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&lt;meta property="og:image" content="https://nexusai.institute/og-image.jpg"&gt;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&lt;meta property="og:url" content="https://nexusai.institute/"&gt;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&lt;meta property="og:type" content="website"&gt;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&lt;!-- Twitter Card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&lt;meta name="twitter:card" content="summary_large_image"&gt;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&lt;meta name="twitter:title" content="NEXUS AI — 智能未来研究院"&gt;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&lt;meta name="twitter:image" content="https://nexusai.institute/og-image.jpg"&gt;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&lt;!-- Favicon --&gt;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&lt;link rel="icon" type="image/svg+xml" href="/favicon.svg"&gt;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&lt;link rel="icon" type="image/png" href="/favicon.png"&gt;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&lt;/head&gt;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9.2 性能优化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操作说明</w:t>
            </w:r>
          </w:p>
        </w:tc>
      </w:tr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Google Fonts 字体预连接</w:t>
            </w:r>
          </w:p>
        </w:tc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高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已添加 preconnect，无需额外操作</w:t>
            </w:r>
          </w:p>
        </w:tc>
      </w:tr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字体自托管</w:t>
            </w:r>
          </w:p>
        </w:tc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中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下载 4 款字体文件，通过 @font-face 本地加载，消除 Google Fonts 网络依赖</w:t>
            </w:r>
          </w:p>
        </w:tc>
      </w:tr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粒子数量调优</w:t>
            </w:r>
          </w:p>
        </w:tc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中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移动端减少粒子（检测 screen.width &lt; 768 时 length 改为 40）</w:t>
            </w:r>
          </w:p>
        </w:tc>
      </w:tr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Canvas 降分辨率</w:t>
            </w:r>
          </w:p>
        </w:tc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低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高 DPI 屏幕用 devicePixelRatio 调整，减少渲染压力</w:t>
            </w:r>
          </w:p>
        </w:tc>
      </w:tr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添加 favicon</w:t>
            </w:r>
          </w:p>
        </w:tc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高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制作 32x32 和 180x180 的 favicon，提升专业度</w:t>
            </w:r>
          </w:p>
        </w:tc>
      </w:tr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图片优化</w:t>
            </w:r>
          </w:p>
        </w:tc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中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未来添加图片时使用 WebP 格式 + loading="lazy" 懒加载</w:t>
            </w:r>
          </w:p>
        </w:tc>
      </w:tr>
      <w:tr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Cloudflare 自动压缩</w:t>
            </w:r>
          </w:p>
        </w:tc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高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在 Cloudflare 面板开启 Auto Minify（JS/CSS/HTML 压缩）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8" w:space="4"/>
        </w:pBdr>
        <w:spacing w:before="480"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十、升级路线图</w:t>
      </w: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10.1 建议升级优先级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🔴 上线前必做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补充完整 SEO meta 标签（title、description、og:image）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制作并添加 favicon（机构标志）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将所有导航 href="#" 替换为真实 URL 或移除暂不开放的菜单项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替换联系邮箱为真实邮箱地址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将「NEXUS AI」替换为实际机构名称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将合作院校名称替换为真实合作伙伴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🟡 上线后一个月内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激活社交媒体链接（LinkedIn、Twitter/X 等）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接入邮件订阅服务（Mailchimp 或 Resend）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添加 Google Analytics 或 Cloudflare Web Analytics 流量统计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制作 og:image 社交分享预览图（1200×630px）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在移动端实测所有功能（真机测试，覆盖 iOS Safari 和 Android Chrome）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🟢 中长期扩展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建设研究频道页面，发布论文摘要、研究报告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建设产业案例页面，展示合作项目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建设投资组合页面，展示已投企业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添加新闻/媒体中心，定期发布动态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考虑引入 CMS（如 Cloudflare Pages + Notion API，或 Sanity.io）管理内容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添加人才招募页面（研究员、工程师岗位）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接入在线预约会议功能（Calendly 嵌入）</w:t>
      </w:r>
    </w:p>
    <w:p>
      <w:pPr>
        <w:spacing w:before="12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10.2 技术升级路径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随着业务扩展，可考虑以下技术演进：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当前（v1）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纯 HTML + CSS + JS 单文件</w:t>
            </w:r>
          </w:p>
        </w:tc>
        <w:tc>
          <w:tcPr>
            <w:tcW w:type="dxa" w:w="4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官网展示，内容变动少，维护简单</w:t>
            </w:r>
          </w:p>
        </w:tc>
      </w:tr>
      <w:tr>
        <w:tc>
          <w:tcPr>
            <w:tcW w:type="dxa" w:w="2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v2（内容增多）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Astro.js + 静态生成</w:t>
            </w:r>
          </w:p>
        </w:tc>
        <w:tc>
          <w:tcPr>
            <w:tcW w:type="dxa" w:w="4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多页面、博客/新闻功能，仍可部署到 Cloudflare Pages</w:t>
            </w:r>
          </w:p>
        </w:tc>
      </w:tr>
      <w:tr>
        <w:tc>
          <w:tcPr>
            <w:tcW w:type="dxa" w:w="2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v3（动态内容）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Next.js + Headless CMS</w:t>
            </w:r>
          </w:p>
        </w:tc>
        <w:tc>
          <w:tcPr>
            <w:tcW w:type="dxa" w:w="4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需要频繁更新内容、多人协作编辑，需 Cloudflare Workers 或 Vercel</w:t>
            </w:r>
          </w:p>
        </w:tc>
      </w:tr>
      <w:tr>
        <w:tc>
          <w:tcPr>
            <w:tcW w:type="dxa" w:w="2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v4（企业级）</w:t>
            </w:r>
          </w:p>
        </w:tc>
        <w:tc>
          <w:tcPr>
            <w:tcW w:type="dxa" w:w="33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自定义框架 + CDN + 数据库</w:t>
            </w:r>
          </w:p>
        </w:tc>
        <w:tc>
          <w:tcPr>
            <w:tcW w:type="dxa" w:w="4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高并发、个性化内容、用户系统，需专属服务器或云服务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8" w:space="4"/>
        </w:pBdr>
        <w:spacing w:before="480"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十一、常见问题排查</w:t>
      </w: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Q1：网站上线后字体显示不正常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可能原因及解决方案：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Google Fonts 在某些网络环境下被屏蔽 → 考虑自托管字体文件，或使用国内 CDN 代理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字体文件加载超时 → 添加 font-display: swap; 确保降级显示系统字体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浏览器缓存旧版本 → 强制刷新（Ctrl+Shift+R / Cmd+Shift+R）</w:t>
      </w:r>
    </w:p>
    <w:p>
      <w:pPr>
        <w:spacing w:before="8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Q2：移动端汉堡菜单不出现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检查以下几点：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确认浏览器窗口宽度是否确实 ≤ 900px（使用 DevTools 检查）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检查 CSS 中 .hamburger 的 display: none 是否被媒体查询正确覆盖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检查 JS 中 toggleDrawer() 函数是否正确绑定到汉堡按钮的 onclick</w:t>
      </w:r>
    </w:p>
    <w:p>
      <w:pPr>
        <w:spacing w:before="8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Q3：语言切换后部分文字没有更新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可能原因：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该元素缺少 data-i18n 属性 → 检查 HTML 并补充属性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i18n 对象中对应语言缺少该 key → 在三种语言中补充对应翻译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元素内有硬编码文字（不是通过 data-i18n 注入的）→ 将硬编码文字移至 i18n 对象</w:t>
      </w:r>
    </w:p>
    <w:p>
      <w:pPr>
        <w:spacing w:before="8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Q4：Cloudflare Pages 部署失败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常见原因及解决：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Build command 填写错误 → 纯静态项目应留空或填 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仓库权限问题 → 在 GitHub 中检查 Cloudflare 的 OAuth 授权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分支名不对 → 确认 GitHub 主分支是 main 而非 master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文件名大小写问题 → 确保 index.html 全小写（Cloudflare Linux 环境大小写敏感）</w:t>
      </w:r>
    </w:p>
    <w:p>
      <w:pPr>
        <w:spacing w:before="8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Q5：粒子动画在手机上卡顿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解决方案：在 JavaScript 初始化部分添加移动端检测，减少粒子数量：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initParticles()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// 移动端减少粒子数量，改善性能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count = window.innerWidth &lt; 768 ? 35 : 80;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particles = Array.from({ length: count }, () =&gt; new Particle());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8" w:space="4"/>
        </w:pBdr>
        <w:spacing w:before="480"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附录：快速参考</w:t>
      </w: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A. 设计规范速查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字体 / 字号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页面背景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#04060F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主标题（EN）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#E8EAF0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Cormorant Garamond 300 / 56-120px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主标题（ZH）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#E8EAF0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Noto Serif SC 300 / 40-88px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Section 标签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#4AB8D4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Space Mono / 10px letter-spacing 0.4em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正文段落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#7A8099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DM Sans 400 / 15px line-height 1.8-2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金色强调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#C8A96E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全局主品牌色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边框/分割线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rgba(200,169,110,0.15)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卡片背景</w:t>
            </w:r>
          </w:p>
        </w:tc>
        <w:tc>
          <w:tcPr>
            <w:tcW w:type="dxa" w:w="300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#070B18</w:t>
            </w:r>
          </w:p>
        </w:tc>
        <w:tc>
          <w:tcPr>
            <w:tcW w:type="dxa" w:w="3960"/>
            <w:tcBorders>
              <w:top w:val="single" w:color="2A3548" w:sz="4"/>
              <w:left w:val="single" w:color="2A3548" w:sz="4"/>
              <w:bottom w:val="single" w:color="2A3548" w:sz="4"/>
              <w:right w:val="single" w:color="2A354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80"/>
        <w:outlineLvl w:val="1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B. 有用的外部工具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Can I Use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检查 CSS/JS 特性的浏览器兼容性 → caniuse.com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Squoosh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图片压缩为 WebP 格式 → squoosh.app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Favicon.io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在线生成各尺寸 favicon → favicon.io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PageSpeed Insights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Google 官方性能检测 → pagespeed.web.dev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GTmetrix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网站加载速度分析 → gtmetrix.com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Carbon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代码截图美化工具 → carbon.now.sh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Cloudflare Analytics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免费流量统计（Cloudflare 面板内置）→ dash.cloudflare.com</w:t>
            </w:r>
          </w:p>
        </w:tc>
      </w:tr>
    </w:tbl>
    <w:p>
      <w:pPr>
        <w:spacing w:before="160" w:after="0"/>
      </w:pPr>
    </w:p>
    <w:p>
      <w:pPr>
        <w:pBdr>
          <w:bottom w:val="single" w:color="C8A96E" w:sz="6" w:space="1"/>
        </w:pBdr>
        <w:spacing w:before="0" w:after="16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7A8099"/>
          <w:sz w:val="18"/>
          <w:szCs w:val="18"/>
        </w:rPr>
        <w:t xml:space="preserve">NEXUS AI 官网技术文档 · v1.0.0 · 2026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7A8099"/>
          <w:sz w:val="18"/>
          <w:szCs w:val="18"/>
        </w:rPr>
        <w:t xml:space="preserve">本文档随网站升级持续更新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3548" w:sz="4" w:space="1"/>
      </w:pBdr>
      <w:spacing w:before="80" w:after="0"/>
      <w:jc w:val="center"/>
    </w:pPr>
    <w:r>
      <w:rPr>
        <w:rFonts w:ascii="Arial" w:cs="Arial" w:eastAsia="Arial" w:hAnsi="Arial"/>
        <w:color w:val="7A8099"/>
        <w:sz w:val="16"/>
        <w:szCs w:val="16"/>
      </w:rPr>
      <w:t xml:space="preserve">© 2026 NEXUS AI INSTITUTE  |  技术文档 v1.0</w:t>
    </w:r>
    <w:r>
      <w:rPr>
        <w:rFonts w:ascii="Arial" w:cs="Arial" w:eastAsia="Arial" w:hAnsi="Arial"/>
        <w:color w:val="7A8099"/>
        <w:sz w:val="16"/>
        <w:szCs w:val="16"/>
      </w:rPr>
      <w:t xml:space="preserve">  —  第 </w:t>
    </w:r>
    <w:pgNum/>
    <w:r>
      <w:rPr>
        <w:rFonts w:ascii="Arial" w:cs="Arial" w:eastAsia="Arial" w:hAnsi="Arial"/>
        <w:color w:val="7A80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3548" w:sz="4" w:space="1"/>
      </w:pBdr>
      <w:spacing w:after="0"/>
    </w:pPr>
    <w:r>
      <w:rPr>
        <w:rFonts w:ascii="Arial" w:cs="Arial" w:eastAsia="Arial" w:hAnsi="Arial"/>
        <w:color w:val="7A8099"/>
        <w:sz w:val="18"/>
        <w:szCs w:val="18"/>
      </w:rPr>
      <w:t xml:space="preserve">NEXUS AI — 官网技术文档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Arial" w:cs="Arial" w:eastAsia="Arial" w:hAnsi="Arial"/>
      <w:b/>
      <w:bCs/>
      <w:color w:val="0D11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2026-03-17T05:52:02.762Z</dcterms:created>
  <dcterms:modified xsi:type="dcterms:W3CDTF">2026-03-17T05:52:02.763Z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