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OpenB0X</w:t>
      </w:r>
    </w:p>
    <w:bookmarkStart w:id="47" w:name="openb0x"/>
    <w:p>
      <w:pPr>
        <w:pStyle w:val="Heading1"/>
      </w:pPr>
      <w:r>
        <w:t xml:space="preserve">OpenB0X</w:t>
      </w:r>
    </w:p>
    <w:bookmarkStart w:id="20" w:name="identificação-institucional"/>
    <w:p>
      <w:pPr>
        <w:pStyle w:val="Heading2"/>
      </w:pPr>
      <w:r>
        <w:t xml:space="preserve">Identificação institucional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UniCEUB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Ciência da Computação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Introdução à Computação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Alcides Olivo Pollazzon Soterio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Docente/Tutor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Fabrício Ofugi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 consolidação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canônica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OpenB0X.md</w:t>
            </w:r>
          </w:p>
        </w:tc>
      </w:tr>
    </w:tbl>
    <w:bookmarkEnd w:id="20"/>
    <w:bookmarkStart w:id="21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O presente documento consolida o deliverable técnico do workspace</w:t>
      </w:r>
      <w:r>
        <w:t xml:space="preserve"> </w:t>
      </w:r>
      <w:r>
        <w:rPr>
          <w:rStyle w:val="VerbatimChar"/>
        </w:rPr>
        <w:t xml:space="preserve">IC01-aops</w:t>
      </w:r>
      <w:r>
        <w:t xml:space="preserve">. Seu objeto não</w:t>
      </w:r>
      <w:r>
        <w:t xml:space="preserve"> </w:t>
      </w:r>
      <w:r>
        <w:t xml:space="preserve">é tratar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como um caso ordinário de consumo, mas analisá-lo como artefato de risco,</w:t>
      </w:r>
      <w:r>
        <w:t xml:space="preserve"> </w:t>
      </w:r>
      <w:r>
        <w:t xml:space="preserve">combinando estudo de caso em segurança, rastreabilidade documental e evidência operacional com</w:t>
      </w:r>
      <w:r>
        <w:t xml:space="preserve"> </w:t>
      </w:r>
      <w:r>
        <w:t xml:space="preserve">base no relatório Claude importado [LOC-01] e no research do retarget</w:t>
      </w:r>
      <w:r>
        <w:t xml:space="preserve"> </w:t>
      </w:r>
      <w:r>
        <w:rPr>
          <w:rStyle w:val="VerbatimChar"/>
        </w:rPr>
        <w:t xml:space="preserve">RK3229</w:t>
      </w:r>
      <w:r>
        <w:t xml:space="preserve"> </w:t>
      </w:r>
      <w:r>
        <w:t xml:space="preserve">[LOC-02].</w:t>
      </w:r>
    </w:p>
    <w:p>
      <w:pPr>
        <w:pStyle w:val="BodyText"/>
      </w:pPr>
      <w:r>
        <w:t xml:space="preserve">O projeto final tem 3 pilares: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ADV7ia</w:t>
      </w:r>
      <w:r>
        <w:t xml:space="preserve">, como camada de automação, controle e memória operacional.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Obsidian meta-vault</w:t>
      </w:r>
      <w:r>
        <w:t xml:space="preserve">, como camada de organização, indexação e evidência.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ADV7Sec (IPS_IDS)</w:t>
      </w:r>
      <w:r>
        <w:t xml:space="preserve">, como camada de detecção local para workstation.</w:t>
      </w:r>
    </w:p>
    <w:p>
      <w:pPr>
        <w:pStyle w:val="FirstParagraph"/>
      </w:pPr>
      <w:r>
        <w:rPr>
          <w:rStyle w:val="VerbatimChar"/>
        </w:rPr>
        <w:t xml:space="preserve">OpenBox0.1v/ADV7Box</w:t>
      </w:r>
      <w:r>
        <w:t xml:space="preserve"> </w:t>
      </w:r>
      <w:r>
        <w:t xml:space="preserve">figura apenas como antecessor histórico e metodológico: ele demonstra a</w:t>
      </w:r>
      <w:r>
        <w:t xml:space="preserve"> </w:t>
      </w:r>
      <w:r>
        <w:t xml:space="preserve">disciplina documental que tornou possível este formato consolidado [LOC-03] [LOC-04], mas não</w:t>
      </w:r>
      <w:r>
        <w:t xml:space="preserve"> </w:t>
      </w:r>
      <w:r>
        <w:t xml:space="preserve">constitui o argumento final do presente artefato.</w:t>
      </w:r>
    </w:p>
    <w:bookmarkEnd w:id="21"/>
    <w:bookmarkStart w:id="23" w:name="método-e-limites-do-conjunto-probatório"/>
    <w:p>
      <w:pPr>
        <w:pStyle w:val="Heading2"/>
      </w:pPr>
      <w:r>
        <w:t xml:space="preserve">1. Método e limites do conjunto probatório</w:t>
      </w:r>
    </w:p>
    <w:p>
      <w:pPr>
        <w:pStyle w:val="FirstParagraph"/>
      </w:pPr>
      <w:r>
        <w:t xml:space="preserve">Este artefato adota um critério probatório conservador. Não encontrei, em fonte governamental</w:t>
      </w:r>
      <w:r>
        <w:t xml:space="preserve"> </w:t>
      </w:r>
      <w:r>
        <w:t xml:space="preserve">brasileira, uma contagem oficial específica de consumidores do modelo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.</w:t>
      </w:r>
      <w:r>
        <w:t xml:space="preserve"> </w:t>
      </w:r>
      <w:r>
        <w:t xml:space="preserve">Por isso, o documento separa a análise em três camadas complementares:</w:t>
      </w:r>
    </w:p>
    <w:p>
      <w:pPr>
        <w:pStyle w:val="Compact"/>
        <w:numPr>
          <w:ilvl w:val="0"/>
          <w:numId w:val="1002"/>
        </w:numPr>
      </w:pPr>
      <w:r>
        <w:t xml:space="preserve">fontes oficiais brasileiras para dimensionar o mercado de TV boxes piratas e o risco regulatório [BR-01] [BR-05] [BR-07];</w:t>
      </w:r>
    </w:p>
    <w:p>
      <w:pPr>
        <w:pStyle w:val="Compact"/>
        <w:numPr>
          <w:ilvl w:val="0"/>
          <w:numId w:val="1002"/>
        </w:numPr>
      </w:pPr>
      <w:r>
        <w:t xml:space="preserve">fontes técnicas externas para descrever campanhas, famílias de malware e vetores de comprometimento documentados [INT-01] [INT-02] [INT-04];</w:t>
      </w:r>
    </w:p>
    <w:p>
      <w:pPr>
        <w:pStyle w:val="Compact"/>
        <w:numPr>
          <w:ilvl w:val="0"/>
          <w:numId w:val="1002"/>
        </w:numPr>
      </w:pPr>
      <w:r>
        <w:t xml:space="preserve">artefatos locais do workspace para contextualizar o caso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RK3229</w:t>
      </w:r>
      <w:r>
        <w:t xml:space="preserve"> </w:t>
      </w:r>
      <w:r>
        <w:t xml:space="preserve">sem extrapolar além da evidência disponível [LOC-01] [LOC-02].</w:t>
      </w:r>
    </w:p>
    <w:p>
      <w:pPr>
        <w:pStyle w:val="FirstParagraph"/>
      </w:pPr>
      <w:r>
        <w:t xml:space="preserve">Esse recorte evita inventar estatística por modelo onde ela não foi publicada e também evita</w:t>
      </w:r>
      <w:r>
        <w:t xml:space="preserve"> </w:t>
      </w:r>
      <w:r>
        <w:t xml:space="preserve">afirmar, sem imagem forense do aparelho, que toda unidade</w:t>
      </w:r>
      <w:r>
        <w:t xml:space="preserve"> </w:t>
      </w:r>
      <w:r>
        <w:rPr>
          <w:rStyle w:val="VerbatimChar"/>
        </w:rPr>
        <w:t xml:space="preserve">RK3229</w:t>
      </w:r>
      <w:r>
        <w:t xml:space="preserve"> </w:t>
      </w:r>
      <w:r>
        <w:t xml:space="preserve">chega infectada. O que o</w:t>
      </w:r>
      <w:r>
        <w:t xml:space="preserve"> </w:t>
      </w:r>
      <w:r>
        <w:t xml:space="preserve">documento sustenta é algo mais preciso: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pertence a uma classe de dispositivos com</w:t>
      </w:r>
      <w:r>
        <w:t xml:space="preserve"> </w:t>
      </w:r>
      <w:r>
        <w:t xml:space="preserve">histórico documentado de firmware adulterado, malware de cadeia de suprimento e exposição massiva</w:t>
      </w:r>
      <w:r>
        <w:t xml:space="preserve"> </w:t>
      </w:r>
      <w:r>
        <w:t xml:space="preserve">no Brasil [BR-01] [BR-05] [BR-07] [INT-01] [LOC-02].</w:t>
      </w:r>
    </w:p>
    <w:bookmarkStart w:id="22" w:name="X648315049ee78989b88802c3a16dfa0b31b3b6a"/>
    <w:p>
      <w:pPr>
        <w:pStyle w:val="Heading3"/>
      </w:pPr>
      <w:r>
        <w:t xml:space="preserve">1.1 Critérios de seleção das fontes governamentais brasileiras</w:t>
      </w:r>
    </w:p>
    <w:p>
      <w:pPr>
        <w:pStyle w:val="FirstParagraph"/>
      </w:pPr>
      <w:r>
        <w:t xml:space="preserve">A seleção das fontes governamentais brasileiras foi organizada em uma subseção própria para separar</w:t>
      </w:r>
      <w:r>
        <w:t xml:space="preserve"> </w:t>
      </w:r>
      <w:r>
        <w:t xml:space="preserve">referência institucional, uso probatório e limite interpretativo. O objetivo não é produzir uma</w:t>
      </w:r>
      <w:r>
        <w:t xml:space="preserve"> </w:t>
      </w:r>
      <w:r>
        <w:t xml:space="preserve">estatística por modelo, mas construir um panorama oficial confiável para enquadrar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como exemplar de uma classe de risco.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no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metodológico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Origem institucional primária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páginas e comunicados em domínios oficiais do Governo Federal, especialmente Receita Federal, Anatel e Ministério das Comunicações.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usar republicações, matérias sem órgão emissor claro ou resumos sem rastreabilidade.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Pertinência temática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Selecionar fontes que tratem diretamente de TV boxes piratas, homologação, malware, retirada de mercado, BadBox 2.0 ou IPTV clandestina.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transferir automaticamente dados gerais do mercado pirata para o modelo</w:t>
            </w:r>
            <w:r>
              <w:t xml:space="preserve"> </w:t>
            </w:r>
            <w:r>
              <w:rPr>
                <w:rStyle w:val="VerbatimChar"/>
              </w:rPr>
              <w:t xml:space="preserve">MXQ Pro 4K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probatório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números oficiais para dimensionar fiscalização, exposição residencial, contaminação conhecida e base usuária.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inferir que uma unidade específica esteja infectada sem imagem forense, hash de firmware ou laudo técnico.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Rastreabilidade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 órgão, data e evento para sustentar a linha do tempo externa de risco.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misturar eventos regulatórios com evidências locais do workspace sem explicitar a camada de análise.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Separação de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apreensão, retirada de mercado, lares expostos, dispositivos infectados e usuários estimados em eixos distintos.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gráficos ou leituras que comparem categorias heterogêneas como se fossem a mesma métrica.</w:t>
            </w:r>
          </w:p>
        </w:tc>
      </w:tr>
    </w:tbl>
    <w:p>
      <w:pPr>
        <w:pStyle w:val="BodyText"/>
      </w:pPr>
      <w:r>
        <w:t xml:space="preserve">Com esse método, as fontes [BR-01] a [BR-07] são tratadas como base oficial para caracterizar o</w:t>
      </w:r>
      <w:r>
        <w:t xml:space="preserve"> </w:t>
      </w:r>
      <w:r>
        <w:t xml:space="preserve">ambiente brasileiro de risco, não como prova individual contra uma unidade específica do aparelho.</w:t>
      </w:r>
      <w:r>
        <w:t xml:space="preserve"> </w:t>
      </w:r>
      <w:r>
        <w:t xml:space="preserve">A conclusão operacional permanece conservadora: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deve ser analisado como dispositivo</w:t>
      </w:r>
      <w:r>
        <w:t xml:space="preserve"> </w:t>
      </w:r>
      <w:r>
        <w:t xml:space="preserve">potencialmente comprometido até que haja wipe completo, substituição de firmware e verificação</w:t>
      </w:r>
      <w:r>
        <w:t xml:space="preserve"> </w:t>
      </w:r>
      <w:r>
        <w:t xml:space="preserve">pós-flash com evidência técnica própria.</w:t>
      </w:r>
    </w:p>
    <w:bookmarkEnd w:id="22"/>
    <w:bookmarkEnd w:id="23"/>
    <w:bookmarkStart w:id="26" w:name="linha-do-tempo-consolidada"/>
    <w:p>
      <w:pPr>
        <w:pStyle w:val="Heading2"/>
      </w:pPr>
      <w:r>
        <w:t xml:space="preserve">2. Linha do tempo consolidada</w:t>
      </w:r>
    </w:p>
    <w:p>
      <w:pPr>
        <w:pStyle w:val="FirstParagraph"/>
      </w:pPr>
      <w:r>
        <w:t xml:space="preserve">A linha do tempo a seguir separa, de forma deliberada, os marcos internos do projeto e os eventos</w:t>
      </w:r>
      <w:r>
        <w:t xml:space="preserve"> </w:t>
      </w:r>
      <w:r>
        <w:t xml:space="preserve">externos que sustentam a leitura de risco do caso. Essa divisão evita misturar evolução do</w:t>
      </w:r>
      <w:r>
        <w:t xml:space="preserve"> </w:t>
      </w:r>
      <w:r>
        <w:t xml:space="preserve">artefato acadêmico com fatos regulatórios, policiais e técnicos pertencentes ao ecossistema de</w:t>
      </w:r>
      <w:r>
        <w:t xml:space="preserve"> </w:t>
      </w:r>
      <w:r>
        <w:t xml:space="preserve">TV boxes não homologados.</w:t>
      </w:r>
    </w:p>
    <w:bookmarkStart w:id="24" w:name="linha-do-tempo-interna-do-projeto"/>
    <w:p>
      <w:pPr>
        <w:pStyle w:val="Heading3"/>
      </w:pPr>
      <w:r>
        <w:t xml:space="preserve">2.1 Linha do tempo interna do projeto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Entrega-base</w:t>
            </w:r>
            <w:r>
              <w:t xml:space="preserve"> </w:t>
            </w:r>
            <w:r>
              <w:rPr>
                <w:rStyle w:val="VerbatimChar"/>
              </w:rPr>
              <w:t xml:space="preserve">AV01_OpenBox_Audit_Report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OpenBox0.1v/deliverables/AV01_OpenBox_Audit_Report.ms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Consolidação do</w:t>
            </w:r>
            <w:r>
              <w:t xml:space="preserve"> </w:t>
            </w:r>
            <w:r>
              <w:rPr>
                <w:rStyle w:val="VerbatimChar"/>
              </w:rPr>
              <w:t xml:space="preserve">ADV7Sec</w:t>
            </w:r>
            <w:r>
              <w:t xml:space="preserve"> </w:t>
            </w:r>
            <w:r>
              <w:t xml:space="preserve">com auditoria e 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IPS_IDS/ADV7Sec_1.0_AUDIT.md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IPS_IDS/PHASE2_TUNING.md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estável do</w:t>
            </w:r>
            <w:r>
              <w:t xml:space="preserve"> </w:t>
            </w:r>
            <w:r>
              <w:rPr>
                <w:rStyle w:val="VerbatimChar"/>
              </w:rPr>
              <w:t xml:space="preserve">ADV7ia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ADV7ia/evidence/*.log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Retarget do OpenBox para</w:t>
            </w:r>
            <w:r>
              <w:t xml:space="preserve"> </w:t>
            </w:r>
            <w:r>
              <w:rPr>
                <w:rStyle w:val="VerbatimChar"/>
              </w:rPr>
              <w:t xml:space="preserve">RK3229 / R29_5G_LP3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OpenBox0.1v/CHANGELOG.md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OpenB0X/sources/rk3229_threat_research.md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Consolidação do</w:t>
            </w:r>
            <w:r>
              <w:t xml:space="preserve"> </w:t>
            </w:r>
            <w:r>
              <w:rPr>
                <w:rStyle w:val="VerbatimChar"/>
              </w:rPr>
              <w:t xml:space="preserve">OpenB0X</w:t>
            </w:r>
            <w:r>
              <w:t xml:space="preserve"> </w:t>
            </w:r>
            <w:r>
              <w:t xml:space="preserve">com integração do legado</w:t>
            </w:r>
            <w:r>
              <w:t xml:space="preserve"> </w:t>
            </w:r>
            <w:r>
              <w:rPr>
                <w:rStyle w:val="VerbatimChar"/>
              </w:rPr>
              <w:t xml:space="preserve">ADV7Box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OpenBox0.1v/ADV7Box/ADV7Box.pdf</w:t>
            </w:r>
            <w:r>
              <w:t xml:space="preserve"> </w:t>
            </w:r>
            <w:r>
              <w:t xml:space="preserve">e este artefato</w:t>
            </w:r>
          </w:p>
        </w:tc>
      </w:tr>
    </w:tbl>
    <w:bookmarkEnd w:id="24"/>
    <w:bookmarkStart w:id="25" w:name="linha-do-tempo-externa-de-risco"/>
    <w:p>
      <w:pPr>
        <w:pStyle w:val="Heading3"/>
      </w:pPr>
      <w:r>
        <w:t xml:space="preserve">2.2 Linha do tempo externa de risco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para 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destrói mais de 97 mil TV boxes piratas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 volume histórico do problema no Brasil [BR-01]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 confirma malware em TV boxes não homologados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introduz o eixo segurança, não só pirataria [BR-02]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2022-12-22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 constata novas vulnerabilidades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que o risco persiste e evolui [BR-03]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2023-03-15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 publica página de TV boxes homologados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 referência regulatória ao consumidor [BR-04]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2023-09-06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Web descreve Android.Pandora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persistência e abuso em TV boxes Android [INT-04]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FBI publica PSA I-060525-PSA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formaliza o vetor de cadeia de suprimento e o risco de ativação no primeiro boot [INT-01]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 alerta sobre BadBox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 aparece como país mais afetado no alerta [BR-05]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2025-11-04/05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Anatel e MCom consolidam o White Paper e o balanço de 8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 escala sistêmica [BR-06]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MCom estima 4-6 milhões de usuários recorrentes e 7-8 milhões com eventuais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 a base de consumo pirata [BR-07]</w:t>
            </w:r>
          </w:p>
        </w:tc>
      </w:tr>
    </w:tbl>
    <w:bookmarkEnd w:id="25"/>
    <w:bookmarkEnd w:id="26"/>
    <w:bookmarkStart w:id="27" w:name="infográfico-dos-3-pilares"/>
    <w:p>
      <w:pPr>
        <w:pStyle w:val="Heading2"/>
      </w:pPr>
      <w:r>
        <w:t xml:space="preserve">3. Infográfico dos 3 pilares</w:t>
      </w:r>
    </w:p>
    <w:p>
      <w:pPr>
        <w:pStyle w:val="SourceCode"/>
      </w:pPr>
      <w:r>
        <w:rPr>
          <w:rStyle w:val="VerbatimChar"/>
        </w:rPr>
        <w:t xml:space="preserve">OpenBox / ADV7Box (antecedente)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OpenB0X</w:t>
      </w:r>
      <w:r>
        <w:br/>
      </w:r>
      <w:r>
        <w:rPr>
          <w:rStyle w:val="VerbatimChar"/>
        </w:rPr>
        <w:t xml:space="preserve">  +-------------------+   +----------------------+   +----------------------+</w:t>
      </w:r>
      <w:r>
        <w:br/>
      </w:r>
      <w:r>
        <w:rPr>
          <w:rStyle w:val="VerbatimChar"/>
        </w:rPr>
        <w:t xml:space="preserve">  | ADV7ia            |   | Obsidian meta-vault  |   | ADV7Sec (IPS_IDS)    |</w:t>
      </w:r>
      <w:r>
        <w:br/>
      </w:r>
      <w:r>
        <w:rPr>
          <w:rStyle w:val="VerbatimChar"/>
        </w:rPr>
        <w:t xml:space="preserve">  | automação, mesh,  |   | indexação, evidência |   | detecção local       |</w:t>
      </w:r>
      <w:r>
        <w:br/>
      </w:r>
      <w:r>
        <w:rPr>
          <w:rStyle w:val="VerbatimChar"/>
        </w:rPr>
        <w:t xml:space="preserve">  | sessões, controle |   | e rastreabilidade    |   | e baseline host      |</w:t>
      </w:r>
      <w:r>
        <w:br/>
      </w:r>
      <w:r>
        <w:rPr>
          <w:rStyle w:val="VerbatimChar"/>
        </w:rPr>
        <w:t xml:space="preserve">  +-------------------+   +----------------------+   +----------------------+</w:t>
      </w:r>
      <w:r>
        <w:br/>
      </w:r>
      <w:r>
        <w:rPr>
          <w:rStyle w:val="VerbatimChar"/>
        </w:rPr>
        <w:t xml:space="preserve">                    \            |            /</w:t>
      </w:r>
      <w:r>
        <w:br/>
      </w:r>
      <w:r>
        <w:rPr>
          <w:rStyle w:val="VerbatimChar"/>
        </w:rPr>
        <w:t xml:space="preserve">                     \           |           /</w:t>
      </w:r>
      <w:r>
        <w:br/>
      </w:r>
      <w:r>
        <w:rPr>
          <w:rStyle w:val="VerbatimChar"/>
        </w:rPr>
        <w:t xml:space="preserve">                      +----------+----------+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      OpenB0X</w:t>
      </w:r>
    </w:p>
    <w:bookmarkEnd w:id="27"/>
    <w:bookmarkStart w:id="37" w:name="estudo-de-caso-de-segurança"/>
    <w:p>
      <w:pPr>
        <w:pStyle w:val="Heading2"/>
      </w:pPr>
      <w:r>
        <w:t xml:space="preserve">4. Estudo de caso de segurança</w:t>
      </w:r>
    </w:p>
    <w:bookmarkStart w:id="28" w:name="panorama-brasileiro"/>
    <w:p>
      <w:pPr>
        <w:pStyle w:val="Heading3"/>
      </w:pPr>
      <w:r>
        <w:t xml:space="preserve">4.1 Panorama brasileiro</w:t>
      </w:r>
    </w:p>
    <w:p>
      <w:pPr>
        <w:pStyle w:val="FirstParagraph"/>
      </w:pPr>
      <w:r>
        <w:t xml:space="preserve">Os dados oficiais brasileiros não sustentam uma contagem por modelo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; contudo,</w:t>
      </w:r>
      <w:r>
        <w:t xml:space="preserve"> </w:t>
      </w:r>
      <w:r>
        <w:t xml:space="preserve">sustentam, com grau suficiente de consistência, o pano de fundo regulatório e operacional</w:t>
      </w:r>
      <w:r>
        <w:t xml:space="preserve"> </w:t>
      </w:r>
      <w:r>
        <w:t xml:space="preserve">necessário para enquadrar o caso:</w:t>
      </w:r>
    </w:p>
    <w:p>
      <w:pPr>
        <w:pStyle w:val="Compact"/>
        <w:numPr>
          <w:ilvl w:val="0"/>
          <w:numId w:val="1003"/>
        </w:numPr>
      </w:pPr>
      <w:r>
        <w:t xml:space="preserve">a Receita Federal destruiu mais de 97 mil aparelhos em 2021 e a ABTA estimou 4,5 milhões de lares expostos [BR-01];</w:t>
      </w:r>
    </w:p>
    <w:p>
      <w:pPr>
        <w:pStyle w:val="Compact"/>
        <w:numPr>
          <w:ilvl w:val="0"/>
          <w:numId w:val="1003"/>
        </w:numPr>
      </w:pPr>
      <w:r>
        <w:t xml:space="preserve">a Anatel confirmou malware em TV boxes não homologados em 2021 [BR-02];</w:t>
      </w:r>
    </w:p>
    <w:p>
      <w:pPr>
        <w:pStyle w:val="Compact"/>
        <w:numPr>
          <w:ilvl w:val="0"/>
          <w:numId w:val="1003"/>
        </w:numPr>
      </w:pPr>
      <w:r>
        <w:t xml:space="preserve">em 2022, a Anatel confirmou novas vulnerabilidades e citou 3,8 milhões de produtos retirados do mercado em dois anos [BR-03];</w:t>
      </w:r>
    </w:p>
    <w:p>
      <w:pPr>
        <w:pStyle w:val="Compact"/>
        <w:numPr>
          <w:ilvl w:val="0"/>
          <w:numId w:val="1003"/>
        </w:numPr>
      </w:pPr>
      <w:r>
        <w:t xml:space="preserve">em 2025, a Anatel afirmou que o Brasil concentrava 1,8 milhão de dispositivos infectados por BadBox 2.0 [BR-05];</w:t>
      </w:r>
    </w:p>
    <w:p>
      <w:pPr>
        <w:pStyle w:val="Compact"/>
        <w:numPr>
          <w:ilvl w:val="0"/>
          <w:numId w:val="1003"/>
        </w:numPr>
      </w:pPr>
      <w:r>
        <w:t xml:space="preserve">em 2026, o MCom afirmou que entre 4 e 6 milhões de usuários usam IPTV pirata de forma recorrente, chegando a 7-8 milhões quando se soma consumo eventual e compartilhamento [BR-07].</w:t>
      </w:r>
    </w:p>
    <w:p>
      <w:pPr>
        <w:pStyle w:val="FirstParagraph"/>
      </w:pPr>
      <w:r>
        <w:t xml:space="preserve">Em termos metodológicos, esse conjunto de dados não autoriza inferência estatística por modelo,</w:t>
      </w:r>
      <w:r>
        <w:t xml:space="preserve"> </w:t>
      </w:r>
      <w:r>
        <w:t xml:space="preserve">mas autoriza tratar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como exemplar técnico de uma classe mais ampla de risco.</w:t>
      </w:r>
    </w:p>
    <w:bookmarkEnd w:id="28"/>
    <w:bookmarkStart w:id="29" w:name="mxq-pro-4k-e-vulnerabilidades-correlatas"/>
    <w:p>
      <w:pPr>
        <w:pStyle w:val="Heading3"/>
      </w:pPr>
      <w:r>
        <w:t xml:space="preserve">4.2 MXQ Pro 4K e vulnerabilidades correlatas</w:t>
      </w:r>
    </w:p>
    <w:p>
      <w:pPr>
        <w:pStyle w:val="FirstParagraph"/>
      </w:pPr>
      <w:r>
        <w:t xml:space="preserve">O relatório Claude local em</w:t>
      </w:r>
      <w:r>
        <w:t xml:space="preserve"> </w:t>
      </w:r>
      <w:r>
        <w:rPr>
          <w:rStyle w:val="VerbatimChar"/>
        </w:rPr>
        <w:t xml:space="preserve">OpenB0X/sources/compass_mxq_pro_5g.md</w:t>
      </w:r>
      <w:r>
        <w:t xml:space="preserve"> </w:t>
      </w:r>
      <w:r>
        <w:t xml:space="preserve">[LOC-01] e o research de</w:t>
      </w:r>
      <w:r>
        <w:t xml:space="preserve"> </w:t>
      </w:r>
      <w:r>
        <w:t xml:space="preserve">ameaça em</w:t>
      </w:r>
      <w:r>
        <w:t xml:space="preserve"> </w:t>
      </w:r>
      <w:r>
        <w:rPr>
          <w:rStyle w:val="VerbatimChar"/>
        </w:rPr>
        <w:t xml:space="preserve">OpenB0X/sources/rk3229_threat_research.md</w:t>
      </w:r>
      <w:r>
        <w:t xml:space="preserve"> </w:t>
      </w:r>
      <w:r>
        <w:t xml:space="preserve">[LOC-02] convergem em quatro pontos:</w:t>
      </w:r>
    </w:p>
    <w:p>
      <w:pPr>
        <w:pStyle w:val="Compact"/>
        <w:numPr>
          <w:ilvl w:val="0"/>
          <w:numId w:val="1004"/>
        </w:numPr>
      </w:pPr>
      <w:r>
        <w:t xml:space="preserve">o aparelho é apresentado como uma variante genérica da família Rockchip RK3229 / RK3228A [LOC-01];</w:t>
      </w:r>
    </w:p>
    <w:p>
      <w:pPr>
        <w:pStyle w:val="Compact"/>
        <w:numPr>
          <w:ilvl w:val="0"/>
          <w:numId w:val="1004"/>
        </w:numPr>
      </w:pPr>
      <w:r>
        <w:t xml:space="preserve">o firmware pode carregar backdoor de cadeia de suprimento, com persistência fora do fluxo normal de</w:t>
      </w:r>
      <w:r>
        <w:t xml:space="preserve"> </w:t>
      </w:r>
      <w:r>
        <w:t xml:space="preserve">“</w:t>
      </w:r>
      <w:r>
        <w:t xml:space="preserve">factory reset</w:t>
      </w:r>
      <w:r>
        <w:t xml:space="preserve">”</w:t>
      </w:r>
      <w:r>
        <w:t xml:space="preserve"> </w:t>
      </w:r>
      <w:r>
        <w:t xml:space="preserve">[LOC-01] [LOC-02];</w:t>
      </w:r>
    </w:p>
    <w:p>
      <w:pPr>
        <w:pStyle w:val="Compact"/>
        <w:numPr>
          <w:ilvl w:val="0"/>
          <w:numId w:val="1004"/>
        </w:numPr>
      </w:pPr>
      <w:r>
        <w:t xml:space="preserve">o ecossistema Android TV box foi associado a Android.Pandora e BADBOX 2.0 [INT-04] [INT-01] [INT-02];</w:t>
      </w:r>
    </w:p>
    <w:p>
      <w:pPr>
        <w:pStyle w:val="Compact"/>
        <w:numPr>
          <w:ilvl w:val="0"/>
          <w:numId w:val="1004"/>
        </w:numPr>
      </w:pPr>
      <w:r>
        <w:t xml:space="preserve">o risco não é apenas violação de direitos autorais, mas também exfiltração, proxy residencial e ataque lateral na rede doméstica.</w:t>
      </w:r>
    </w:p>
    <w:bookmarkEnd w:id="29"/>
    <w:bookmarkStart w:id="30" w:name="Xd52636fb6aa88eb776571ef28d19de0464debcb"/>
    <w:p>
      <w:pPr>
        <w:pStyle w:val="Heading3"/>
      </w:pPr>
      <w:r>
        <w:t xml:space="preserve">4.3 Análise aprofundada do vetor de backdoor no ecossistema RK3229</w:t>
      </w:r>
    </w:p>
    <w:p>
      <w:pPr>
        <w:pStyle w:val="FirstParagraph"/>
      </w:pPr>
      <w:r>
        <w:t xml:space="preserve">No caso</w:t>
      </w:r>
      <w:r>
        <w:t xml:space="preserve"> </w:t>
      </w:r>
      <w:r>
        <w:rPr>
          <w:rStyle w:val="VerbatimChar"/>
        </w:rPr>
        <w:t xml:space="preserve">RK3229</w:t>
      </w:r>
      <w:r>
        <w:t xml:space="preserve">, o termo</w:t>
      </w:r>
      <w:r>
        <w:t xml:space="preserve"> </w:t>
      </w:r>
      <w:r>
        <w:t xml:space="preserve">“</w:t>
      </w:r>
      <w:r>
        <w:t xml:space="preserve">backdoor</w:t>
      </w:r>
      <w:r>
        <w:t xml:space="preserve">”</w:t>
      </w:r>
      <w:r>
        <w:t xml:space="preserve"> </w:t>
      </w:r>
      <w:r>
        <w:t xml:space="preserve">descreve dois planos distintos de risco, que não devem ser</w:t>
      </w:r>
      <w:r>
        <w:t xml:space="preserve"> </w:t>
      </w:r>
      <w:r>
        <w:t xml:space="preserve">confundidos: o plano físico, vinculado ao</w:t>
      </w:r>
      <w:r>
        <w:t xml:space="preserve"> </w:t>
      </w:r>
      <w:r>
        <w:rPr>
          <w:rStyle w:val="VerbatimChar"/>
        </w:rPr>
        <w:t xml:space="preserve">Maskrom</w:t>
      </w:r>
      <w:r>
        <w:t xml:space="preserve"> </w:t>
      </w:r>
      <w:r>
        <w:t xml:space="preserve">embutido na</w:t>
      </w:r>
      <w:r>
        <w:t xml:space="preserve"> </w:t>
      </w:r>
      <w:r>
        <w:rPr>
          <w:rStyle w:val="VerbatimChar"/>
        </w:rPr>
        <w:t xml:space="preserve">BootROM</w:t>
      </w:r>
      <w:r>
        <w:t xml:space="preserve"> </w:t>
      </w:r>
      <w:r>
        <w:t xml:space="preserve">do SoC, e o plano</w:t>
      </w:r>
      <w:r>
        <w:t xml:space="preserve"> </w:t>
      </w:r>
      <w:r>
        <w:t xml:space="preserve">lógico, associado ao firmware de cadeia de suprimento e ao carregamento de componentes maliciosos</w:t>
      </w:r>
      <w:r>
        <w:t xml:space="preserve"> </w:t>
      </w:r>
      <w:r>
        <w:t xml:space="preserve">no primeiro boot [INT-01] [LOC-02].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evidência sustenta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Física (</w:t>
            </w:r>
            <w:r>
              <w:rPr>
                <w:rStyle w:val="VerbatimChar"/>
              </w:rPr>
              <w:t xml:space="preserve">BootROM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Maskrom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RK3229</w:t>
            </w:r>
            <w:r>
              <w:t xml:space="preserve"> </w:t>
            </w:r>
            <w:r>
              <w:t xml:space="preserve">mantém um modo de recuperação em silício, anterior ao sistema operacional, que permite regravação com acesso físico [LOC-02]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prova infecção prévia, mas reduz a barreira para adulteração pós-posse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/ cadeia de suprimento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dispositivo pode sair de fábrica com payload pré-instalado ou baixar componente malicioso no primeiro boot [INT-01] [LOC-02]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persistência fora do fluxo normal de uso e a limitação de um simples</w:t>
            </w:r>
            <w:r>
              <w:t xml:space="preserve"> </w:t>
            </w:r>
            <w:r>
              <w:t xml:space="preserve">“</w:t>
            </w:r>
            <w:r>
              <w:t xml:space="preserve">factory reset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Aplicação / ecossistema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sideloading e lojas paralelas reforçam a infecção em boxes piratas [INT-01] [INT-02]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 a superfície de comprometimento mesmo sem ataque dirigido</w:t>
            </w:r>
          </w:p>
        </w:tc>
      </w:tr>
    </w:tbl>
    <w:p>
      <w:pPr>
        <w:pStyle w:val="BodyText"/>
      </w:pPr>
      <w:r>
        <w:t xml:space="preserve">Em outras palavras, o problema central não é um</w:t>
      </w:r>
      <w:r>
        <w:t xml:space="preserve"> </w:t>
      </w:r>
      <w:r>
        <w:t xml:space="preserve">“</w:t>
      </w:r>
      <w:r>
        <w:t xml:space="preserve">exploit manual</w:t>
      </w:r>
      <w:r>
        <w:t xml:space="preserve">”</w:t>
      </w:r>
      <w:r>
        <w:t xml:space="preserve"> </w:t>
      </w:r>
      <w:r>
        <w:t xml:space="preserve">acionado pelo usuário, mas um</w:t>
      </w:r>
      <w:r>
        <w:t xml:space="preserve"> </w:t>
      </w:r>
      <w:r>
        <w:t xml:space="preserve">modelo de comprometimento embutido na cadeia de fornecimento e reforçado por um hardware que</w:t>
      </w:r>
      <w:r>
        <w:t xml:space="preserve"> </w:t>
      </w:r>
      <w:r>
        <w:t xml:space="preserve">facilita regravação quando há acesso físico. Essa distinção é relevante:</w:t>
      </w:r>
      <w:r>
        <w:t xml:space="preserve"> </w:t>
      </w:r>
      <w:r>
        <w:rPr>
          <w:rStyle w:val="VerbatimChar"/>
        </w:rPr>
        <w:t xml:space="preserve">Maskrom</w:t>
      </w:r>
      <w:r>
        <w:t xml:space="preserve"> </w:t>
      </w:r>
      <w:r>
        <w:t xml:space="preserve">é uma interface</w:t>
      </w:r>
      <w:r>
        <w:t xml:space="preserve"> </w:t>
      </w:r>
      <w:r>
        <w:t xml:space="preserve">de recuperação em silício, não uma prova de malware; ainda assim, combinado com firmware opaco e</w:t>
      </w:r>
      <w:r>
        <w:t xml:space="preserve"> </w:t>
      </w:r>
      <w:r>
        <w:t xml:space="preserve">boxes genéricas, ele amplia o risco operacional do aparelho [LOC-02].</w:t>
      </w:r>
    </w:p>
    <w:bookmarkEnd w:id="30"/>
    <w:bookmarkStart w:id="31" w:name="leitura-do-material-público-do-fbi"/>
    <w:p>
      <w:pPr>
        <w:pStyle w:val="Heading3"/>
      </w:pPr>
      <w:r>
        <w:t xml:space="preserve">4.4 Leitura do material público do FBI</w:t>
      </w:r>
    </w:p>
    <w:p>
      <w:pPr>
        <w:pStyle w:val="FirstParagraph"/>
      </w:pPr>
      <w:r>
        <w:t xml:space="preserve">O PSA</w:t>
      </w:r>
      <w:r>
        <w:t xml:space="preserve"> </w:t>
      </w:r>
      <w:r>
        <w:rPr>
          <w:rStyle w:val="VerbatimChar"/>
        </w:rPr>
        <w:t xml:space="preserve">I-060525-PSA</w:t>
      </w:r>
      <w:r>
        <w:t xml:space="preserve">, publicado pelo FBI, não nomeia o</w:t>
      </w:r>
      <w:r>
        <w:t xml:space="preserve"> </w:t>
      </w:r>
      <w:r>
        <w:rPr>
          <w:rStyle w:val="VerbatimChar"/>
        </w:rPr>
        <w:t xml:space="preserve">RK3229</w:t>
      </w:r>
      <w:r>
        <w:t xml:space="preserve"> </w:t>
      </w:r>
      <w:r>
        <w:t xml:space="preserve">nem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individualmente. Ainda assim, é central para este estudo porque descreve, com clareza, o padrão de</w:t>
      </w:r>
      <w:r>
        <w:t xml:space="preserve"> </w:t>
      </w:r>
      <w:r>
        <w:t xml:space="preserve">comprometimento observado na classe de dispositivos em que o aparelho se insere:</w:t>
      </w:r>
      <w:r>
        <w:t xml:space="preserve"> </w:t>
      </w:r>
      <w:r>
        <w:t xml:space="preserve">comprometimento pré-venda, ativação no primeiro boot e monetização do dispositivo para atividade</w:t>
      </w:r>
      <w:r>
        <w:t xml:space="preserve"> </w:t>
      </w:r>
      <w:r>
        <w:t xml:space="preserve">criminosa em background [INT-01].</w:t>
      </w:r>
    </w:p>
    <w:p>
      <w:pPr>
        <w:pStyle w:val="BodyText"/>
      </w:pPr>
      <w:r>
        <w:t xml:space="preserve">O documento do FBI permite três leituras úteis para este artefato:</w:t>
      </w:r>
    </w:p>
    <w:p>
      <w:pPr>
        <w:pStyle w:val="Compact"/>
        <w:numPr>
          <w:ilvl w:val="0"/>
          <w:numId w:val="1005"/>
        </w:numPr>
      </w:pPr>
      <w:r>
        <w:t xml:space="preserve">confirma o vetor de cadeia de suprimento como risco primário, e não acessório [INT-01];</w:t>
      </w:r>
    </w:p>
    <w:p>
      <w:pPr>
        <w:pStyle w:val="Compact"/>
        <w:numPr>
          <w:ilvl w:val="0"/>
          <w:numId w:val="1005"/>
        </w:numPr>
      </w:pPr>
      <w:r>
        <w:t xml:space="preserve">reforça que parte do comprometimento pode ocorrer antes de qualquer ação do usuário [INT-01];</w:t>
      </w:r>
    </w:p>
    <w:p>
      <w:pPr>
        <w:pStyle w:val="Compact"/>
        <w:numPr>
          <w:ilvl w:val="0"/>
          <w:numId w:val="1005"/>
        </w:numPr>
      </w:pPr>
      <w:r>
        <w:t xml:space="preserve">não prova, por si só, que esta unidade específica estava infectada antes da aquisição, o que</w:t>
      </w:r>
      <w:r>
        <w:t xml:space="preserve"> </w:t>
      </w:r>
      <w:r>
        <w:t xml:space="preserve">preserva o rigor metodológico do estudo [INT-01] [LOC-02].</w:t>
      </w:r>
    </w:p>
    <w:p>
      <w:pPr>
        <w:pStyle w:val="FirstParagraph"/>
      </w:pPr>
      <w:r>
        <w:t xml:space="preserve">Portanto, a evidência do FBI deve ser utilizada aqui como suporte de classe, e não como laudo</w:t>
      </w:r>
      <w:r>
        <w:t xml:space="preserve"> </w:t>
      </w:r>
      <w:r>
        <w:t xml:space="preserve">pericial de unidade. A conclusão operacional permanece a mesma: tratar 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 </w:t>
      </w:r>
      <w:r>
        <w:t xml:space="preserve">como</w:t>
      </w:r>
      <w:r>
        <w:t xml:space="preserve"> </w:t>
      </w:r>
      <w:r>
        <w:t xml:space="preserve">potencialmente comprometido até o wipe completo, a troca de firmware e a verificação pós-flash</w:t>
      </w:r>
      <w:r>
        <w:t xml:space="preserve"> </w:t>
      </w:r>
      <w:r>
        <w:t xml:space="preserve">[INT-01] [LOC-02].</w:t>
      </w:r>
    </w:p>
    <w:bookmarkEnd w:id="31"/>
    <w:bookmarkStart w:id="32" w:name="correlação-entre-risco-firmware-e-rede"/>
    <w:p>
      <w:pPr>
        <w:pStyle w:val="Heading3"/>
      </w:pPr>
      <w:r>
        <w:t xml:space="preserve">4.5 Correlação entre risco, firmware e rede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caso mostra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prático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atualização/boot podem carregar código malicioso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dispositivo não deve entrar na rede antes de wipe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box pode atuar como proxy residencial ou pivot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tráfego deve ser isolado por VLAN ou rede segregada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dono não percebe a infecção em uso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defesa precisa ser preventiva, não reativa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problema é massivo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caso individual representa uma classe de exposição</w:t>
            </w:r>
          </w:p>
        </w:tc>
      </w:tr>
    </w:tbl>
    <w:bookmarkEnd w:id="32"/>
    <w:bookmarkStart w:id="36" w:name="Xb8704250e0b6c9ea228c196443113445ca374c1"/>
    <w:p>
      <w:pPr>
        <w:pStyle w:val="Heading3"/>
      </w:pPr>
      <w:r>
        <w:t xml:space="preserve">4.6 Desagregação analítica do panorama brasileiro</w:t>
      </w:r>
    </w:p>
    <w:p>
      <w:pPr>
        <w:pStyle w:val="FirstParagraph"/>
      </w:pPr>
      <w:r>
        <w:t xml:space="preserve">Em substituição ao gráfico único, este documento passa a organizar os indicadores em três eixos</w:t>
      </w:r>
      <w:r>
        <w:t xml:space="preserve"> </w:t>
      </w:r>
      <w:r>
        <w:t xml:space="preserve">temáticos. A mudança é metodologicamente necessária: apreensões, lares expostos, dispositivos</w:t>
      </w:r>
      <w:r>
        <w:t xml:space="preserve"> </w:t>
      </w:r>
      <w:r>
        <w:t xml:space="preserve">infectados e estimativas de uso pertencem a categorias distintas e, quando exibidos em um único</w:t>
      </w:r>
      <w:r>
        <w:t xml:space="preserve"> </w:t>
      </w:r>
      <w:r>
        <w:t xml:space="preserve">eixo, induzem comparação inadequada.</w:t>
      </w:r>
    </w:p>
    <w:bookmarkStart w:id="33" w:name="fiscalização-e-retirada-de-mercado"/>
    <w:p>
      <w:pPr>
        <w:pStyle w:val="Heading4"/>
      </w:pPr>
      <w:r>
        <w:t xml:space="preserve">4.6.1 Fiscalização e retirada de mercado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 boxes piratas destruídas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direto da Receita Federal / ABTA [BR-01]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Produtos não homologados retirados em 2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balanço da Anatel em 2022 [BR-03]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 boxes entre os produtos retirados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 milhão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subconjunto citado pela Anatel [BR-03]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Produtos retirados desde 2018 até out/2025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balanço Anatel / MCom [BR-06]</w:t>
            </w:r>
          </w:p>
        </w:tc>
      </w:tr>
    </w:tbl>
    <w:p>
      <w:pPr>
        <w:pStyle w:val="BodyText"/>
      </w:pPr>
      <w:r>
        <w:t xml:space="preserve">Esse primeiro eixo mede capacidade de repressão, apreensão e retirada de mercado. Ele não informa,</w:t>
      </w:r>
      <w:r>
        <w:t xml:space="preserve"> </w:t>
      </w:r>
      <w:r>
        <w:t xml:space="preserve">por si só, quantos consumidores efetivamente utilizam cada modelo, mas quantifica a escala da</w:t>
      </w:r>
      <w:r>
        <w:t xml:space="preserve"> </w:t>
      </w:r>
      <w:r>
        <w:t xml:space="preserve">resposta estatal ao problema.</w:t>
      </w:r>
    </w:p>
    <w:bookmarkEnd w:id="33"/>
    <w:bookmarkStart w:id="34" w:name="exposição-residencial-e-contaminação"/>
    <w:p>
      <w:pPr>
        <w:pStyle w:val="Heading4"/>
      </w:pPr>
      <w:r>
        <w:t xml:space="preserve">4.6.2 Exposição residencial e contaminação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Lares com aparelhos ilegais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ABTA com base em IBGE e Anatel [BR-01]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 infectados por BadBox 2.0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 milhão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da Anatel de 2025 [BR-05]</w:t>
            </w:r>
          </w:p>
        </w:tc>
      </w:tr>
    </w:tbl>
    <w:p>
      <w:pPr>
        <w:pStyle w:val="BodyText"/>
      </w:pPr>
      <w:r>
        <w:t xml:space="preserve">O segundo eixo aproxima exposição doméstica e contaminação conhecida. Embora as métricas não sejam</w:t>
      </w:r>
      <w:r>
        <w:t xml:space="preserve"> </w:t>
      </w:r>
      <w:r>
        <w:t xml:space="preserve">equivalentes, sua leitura conjunta é útil para demonstrar que o problema não é residual nem</w:t>
      </w:r>
      <w:r>
        <w:t xml:space="preserve"> </w:t>
      </w:r>
      <w:r>
        <w:t xml:space="preserve">circunscrito a apreensões pontuais.</w:t>
      </w:r>
    </w:p>
    <w:bookmarkEnd w:id="34"/>
    <w:bookmarkStart w:id="35" w:name="estimativa-de-base-usuária"/>
    <w:p>
      <w:pPr>
        <w:pStyle w:val="Heading4"/>
      </w:pPr>
      <w:r>
        <w:t xml:space="preserve">4.6.3 Estimativa de base usuária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recorrentes de IPTV pirata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oficial do Governo do Brasil [BR-07]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recorrentes + eventuais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ampliada pelo MCom [BR-07]</w:t>
            </w:r>
          </w:p>
        </w:tc>
      </w:tr>
    </w:tbl>
    <w:p>
      <w:pPr>
        <w:pStyle w:val="BodyText"/>
      </w:pPr>
      <w:r>
        <w:t xml:space="preserve">O terceiro eixo desloca a análise do mercado físico para a base usuária. Trata-se da camada mais</w:t>
      </w:r>
      <w:r>
        <w:t xml:space="preserve"> </w:t>
      </w:r>
      <w:r>
        <w:t xml:space="preserve">próxima do impacto social do fenômeno, ainda que continue sem granularidade por modelo.</w:t>
      </w:r>
    </w:p>
    <w:bookmarkEnd w:id="35"/>
    <w:bookmarkEnd w:id="36"/>
    <w:bookmarkEnd w:id="37"/>
    <w:bookmarkStart w:id="41" w:name="logs-reports-e-tests"/>
    <w:p>
      <w:pPr>
        <w:pStyle w:val="Heading2"/>
      </w:pPr>
      <w:r>
        <w:t xml:space="preserve">5. Logs, reports e tests</w:t>
      </w:r>
    </w:p>
    <w:bookmarkStart w:id="38" w:name="openbox"/>
    <w:p>
      <w:pPr>
        <w:pStyle w:val="Heading3"/>
      </w:pPr>
      <w:r>
        <w:t xml:space="preserve">5.1 OpenBox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OpenBox0.1v/deliverables/AV01_OpenBox_Audit_Report.ms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OpenBox0.1v/deliverables/AV01_OpenBox_Audit_Report.pdf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OpenBox0.1v/tests/validate-stack.sh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OpenBox0.1v/tests/validate-obsidian-vault.sh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OpenBox0.1v/tests/phase-b-vault-tool.sh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OpenBox0.1v/tests/ci-syntax-check.sh</w:t>
      </w:r>
    </w:p>
    <w:bookmarkEnd w:id="38"/>
    <w:bookmarkStart w:id="39" w:name="ips_ids-adv7sec"/>
    <w:p>
      <w:pPr>
        <w:pStyle w:val="Heading3"/>
      </w:pPr>
      <w:r>
        <w:t xml:space="preserve">5.2 IPS_IDS / ADV7Sec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IPS_IDS/ADV7Sec_1.0_AUDIT.md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IPS_IDS/PHASE2_TUNING.md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IPS_IDS/tests/ci-syntax-check.sh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IPS_IDS/tests/test_adv7sec_cli.py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IPS_IDS/tests/test_adv7sec_install.py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IPS_IDS/tests/test_adv7sec_apply_contract.py</w:t>
      </w:r>
    </w:p>
    <w:bookmarkEnd w:id="39"/>
    <w:bookmarkStart w:id="40" w:name="adv7ia"/>
    <w:p>
      <w:pPr>
        <w:pStyle w:val="Heading3"/>
      </w:pPr>
      <w:r>
        <w:t xml:space="preserve">5.3 ADV7ia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ADV7ia/evidence/ai-stack-status.stable.2026-04-24-153505.log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ADV7ia/evidence/audit-local-ai-stack.final.2026-04-24-041947.log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ADV7ia/evidence/audit-local-ai-stack.known-good.2026-04-24-045236.log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ADV7ia/tests/validate-project-layout.sh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ADV7ia/tests/validate-obsidian-vault.sh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ADV7ia/tests/validate-control-mesh.sh</w:t>
      </w:r>
    </w:p>
    <w:bookmarkEnd w:id="40"/>
    <w:bookmarkEnd w:id="41"/>
    <w:bookmarkStart w:id="45" w:name="referências"/>
    <w:p>
      <w:pPr>
        <w:pStyle w:val="Heading2"/>
      </w:pPr>
      <w:r>
        <w:t xml:space="preserve">6. Referências</w:t>
      </w:r>
    </w:p>
    <w:bookmarkStart w:id="42" w:name="oficiais-brasileiras"/>
    <w:p>
      <w:pPr>
        <w:pStyle w:val="Heading3"/>
      </w:pPr>
      <w:r>
        <w:t xml:space="preserve">Oficiais brasileiras</w:t>
      </w:r>
    </w:p>
    <w:p>
      <w:pPr>
        <w:pStyle w:val="Compact"/>
        <w:numPr>
          <w:ilvl w:val="0"/>
          <w:numId w:val="1009"/>
        </w:numPr>
      </w:pPr>
      <w:r>
        <w:t xml:space="preserve">[BR-01] Receita Federal e ABTA, 06/05/2021, https://www.gov.br/receitafederal/pt-br/assuntos/noticias/2021/maio/receita-federal-e-associacao-brasileira-de-televisao-por-assinatura-destroem-mais-de-97-mil-aparelhos-de-tv-box-piratas-no-rio-de-janeiro</w:t>
      </w:r>
    </w:p>
    <w:p>
      <w:pPr>
        <w:pStyle w:val="Compact"/>
        <w:numPr>
          <w:ilvl w:val="0"/>
          <w:numId w:val="1009"/>
        </w:numPr>
      </w:pPr>
      <w:r>
        <w:t xml:space="preserve">[BR-02] Anatel, 22/12/2021, https://www.gov.br/anatel/pt-br/assuntos/noticias/anatel-constata-presenca-de-malware-em-aparelhos-de-tv-box-nao-homologados</w:t>
      </w:r>
    </w:p>
    <w:p>
      <w:pPr>
        <w:pStyle w:val="Compact"/>
        <w:numPr>
          <w:ilvl w:val="0"/>
          <w:numId w:val="1009"/>
        </w:numPr>
      </w:pPr>
      <w:r>
        <w:t xml:space="preserve">[BR-03] Anatel, 22/12/2022, https://www.gov.br/anatel/pt-br/assuntos/noticias/anatel-constata-novas-vulnerabilidades-em-tv-box-nao-homologados</w:t>
      </w:r>
    </w:p>
    <w:p>
      <w:pPr>
        <w:pStyle w:val="Compact"/>
        <w:numPr>
          <w:ilvl w:val="0"/>
          <w:numId w:val="1009"/>
        </w:numPr>
      </w:pPr>
      <w:r>
        <w:t xml:space="preserve">[BR-04] Anatel, 15/03/2023, https://www.gov.br/anatel/pt-br/assuntos/noticias/anatel-lanca-pagina-com-tv-boxes-homologados</w:t>
      </w:r>
    </w:p>
    <w:p>
      <w:pPr>
        <w:pStyle w:val="Compact"/>
        <w:numPr>
          <w:ilvl w:val="0"/>
          <w:numId w:val="1009"/>
        </w:numPr>
      </w:pPr>
      <w:r>
        <w:t xml:space="preserve">[BR-05] Anatel, 12/08/2025, https://www.gov.br/anatel/pt-br/assuntos/noticias/anatel-emite-alerta-sobre-malware-bad-box-2-0-em-tv-boxes-piratas</w:t>
      </w:r>
    </w:p>
    <w:p>
      <w:pPr>
        <w:pStyle w:val="Compact"/>
        <w:numPr>
          <w:ilvl w:val="0"/>
          <w:numId w:val="1009"/>
        </w:numPr>
      </w:pPr>
      <w:r>
        <w:t xml:space="preserve">[BR-06] Anatel / MCom, 04/11/2025 e 05/11/2025, https://www.gov.br/anatel/pt-br/assuntos/noticias/anatel-lanca-white-paper-e-reforca-compromisso-com-a-seguranca-dos-usuarios e https://www.gov.br/mcom/pt-br/noticias/2025/novembro/anatel-retira-de-circulacao-mais-de-8-milhoes-de-produtos-de-telecomunicacoes-por-falta-de-homologacao-correspondendo-a-r-833-6-milhoes</w:t>
      </w:r>
    </w:p>
    <w:p>
      <w:pPr>
        <w:pStyle w:val="Compact"/>
        <w:numPr>
          <w:ilvl w:val="0"/>
          <w:numId w:val="1009"/>
        </w:numPr>
      </w:pPr>
      <w:r>
        <w:t xml:space="preserve">[BR-07] Ministério das Comunicações, 15/01/2026, https://www.gov.br/mcom/pt-br/noticias/2026/janeiro/brasil-intensifica-combate-a-pirataria-digital-em-2025-com-apreensao-milionaria-e-mapeamento-de-ate-8-milhoes-de-usuarios-clandestinos</w:t>
      </w:r>
    </w:p>
    <w:bookmarkEnd w:id="42"/>
    <w:bookmarkStart w:id="43" w:name="técnicas-externas"/>
    <w:p>
      <w:pPr>
        <w:pStyle w:val="Heading3"/>
      </w:pPr>
      <w:r>
        <w:t xml:space="preserve">Técnicas externas</w:t>
      </w:r>
    </w:p>
    <w:p>
      <w:pPr>
        <w:pStyle w:val="Compact"/>
        <w:numPr>
          <w:ilvl w:val="0"/>
          <w:numId w:val="1010"/>
        </w:numPr>
      </w:pPr>
      <w:r>
        <w:t xml:space="preserve">[INT-01] FBI, PSA I-060525-PSA, 05/06/2025, https://www.fbi.gov/investigate/cyber/alerts/psa/home-internet-connected-devices-facilitate-criminal-activity</w:t>
      </w:r>
    </w:p>
    <w:p>
      <w:pPr>
        <w:pStyle w:val="Compact"/>
        <w:numPr>
          <w:ilvl w:val="0"/>
          <w:numId w:val="1010"/>
        </w:numPr>
      </w:pPr>
      <w:r>
        <w:t xml:space="preserve">[INT-02] HUMAN Security, BADBOX 2.0, 05/03/2025, https://www.humansecurity.com/newsroom/human-exposes-badbox-2-0-scheme/</w:t>
      </w:r>
    </w:p>
    <w:p>
      <w:pPr>
        <w:pStyle w:val="Compact"/>
        <w:numPr>
          <w:ilvl w:val="0"/>
          <w:numId w:val="1010"/>
        </w:numPr>
      </w:pPr>
      <w:r>
        <w:t xml:space="preserve">[INT-03] Google Security Blog, ação legal contra BadBox 2.0, https://blog.google/innovation-and-ai/technology/safety-security/google-taking-legal-action-against-the-badbox-20-botnet/</w:t>
      </w:r>
    </w:p>
    <w:p>
      <w:pPr>
        <w:pStyle w:val="Compact"/>
        <w:numPr>
          <w:ilvl w:val="0"/>
          <w:numId w:val="1010"/>
        </w:numPr>
      </w:pPr>
      <w:r>
        <w:t xml:space="preserve">[INT-04] Doctor Web, Android.Pandora, 06/09/2023, https://news.drweb.com/show/?i=14743</w:t>
      </w:r>
    </w:p>
    <w:bookmarkEnd w:id="43"/>
    <w:bookmarkStart w:id="44" w:name="locais"/>
    <w:p>
      <w:pPr>
        <w:pStyle w:val="Heading3"/>
      </w:pPr>
      <w:r>
        <w:t xml:space="preserve">Locais</w:t>
      </w:r>
    </w:p>
    <w:p>
      <w:pPr>
        <w:pStyle w:val="Compact"/>
        <w:numPr>
          <w:ilvl w:val="0"/>
          <w:numId w:val="1011"/>
        </w:numPr>
      </w:pPr>
      <w:r>
        <w:t xml:space="preserve">[LOC-01]</w:t>
      </w:r>
      <w:r>
        <w:t xml:space="preserve"> </w:t>
      </w:r>
      <w:r>
        <w:rPr>
          <w:rStyle w:val="VerbatimChar"/>
        </w:rPr>
        <w:t xml:space="preserve">OpenB0X/sources/compass_mxq_pro_5g.md</w:t>
      </w:r>
    </w:p>
    <w:p>
      <w:pPr>
        <w:pStyle w:val="Compact"/>
        <w:numPr>
          <w:ilvl w:val="0"/>
          <w:numId w:val="1011"/>
        </w:numPr>
      </w:pPr>
      <w:r>
        <w:t xml:space="preserve">[LOC-02]</w:t>
      </w:r>
      <w:r>
        <w:t xml:space="preserve"> </w:t>
      </w:r>
      <w:r>
        <w:rPr>
          <w:rStyle w:val="VerbatimChar"/>
        </w:rPr>
        <w:t xml:space="preserve">OpenB0X/sources/rk3229_threat_research.md</w:t>
      </w:r>
    </w:p>
    <w:p>
      <w:pPr>
        <w:pStyle w:val="Compact"/>
        <w:numPr>
          <w:ilvl w:val="0"/>
          <w:numId w:val="1011"/>
        </w:numPr>
      </w:pPr>
      <w:r>
        <w:t xml:space="preserve">[LOC-03]</w:t>
      </w:r>
      <w:r>
        <w:t xml:space="preserve"> </w:t>
      </w:r>
      <w:r>
        <w:rPr>
          <w:rStyle w:val="VerbatimChar"/>
        </w:rPr>
        <w:t xml:space="preserve">OpenBox0.1v/CHANGELOG.md</w:t>
      </w:r>
    </w:p>
    <w:p>
      <w:pPr>
        <w:pStyle w:val="Compact"/>
        <w:numPr>
          <w:ilvl w:val="0"/>
          <w:numId w:val="1011"/>
        </w:numPr>
      </w:pPr>
      <w:r>
        <w:t xml:space="preserve">[LOC-04]</w:t>
      </w:r>
      <w:r>
        <w:t xml:space="preserve"> </w:t>
      </w:r>
      <w:r>
        <w:rPr>
          <w:rStyle w:val="VerbatimChar"/>
        </w:rPr>
        <w:t xml:space="preserve">OpenBox0.1v/ADV7Box/ADV7Box.pdf</w:t>
      </w:r>
    </w:p>
    <w:p>
      <w:pPr>
        <w:pStyle w:val="Compact"/>
        <w:numPr>
          <w:ilvl w:val="0"/>
          <w:numId w:val="1011"/>
        </w:numPr>
      </w:pPr>
      <w:r>
        <w:t xml:space="preserve">[LOC-05]</w:t>
      </w:r>
      <w:r>
        <w:t xml:space="preserve"> </w:t>
      </w:r>
      <w:r>
        <w:rPr>
          <w:rStyle w:val="VerbatimChar"/>
        </w:rPr>
        <w:t xml:space="preserve">ADV7ia/evidence/*.log</w:t>
      </w:r>
    </w:p>
    <w:p>
      <w:pPr>
        <w:pStyle w:val="Compact"/>
        <w:numPr>
          <w:ilvl w:val="0"/>
          <w:numId w:val="1011"/>
        </w:numPr>
      </w:pPr>
      <w:r>
        <w:t xml:space="preserve">[LOC-06]</w:t>
      </w:r>
      <w:r>
        <w:t xml:space="preserve"> </w:t>
      </w:r>
      <w:r>
        <w:rPr>
          <w:rStyle w:val="VerbatimChar"/>
        </w:rPr>
        <w:t xml:space="preserve">IPS_IDS/ADV7Sec_1.0_AUDIT.md</w:t>
      </w:r>
    </w:p>
    <w:p>
      <w:pPr>
        <w:pStyle w:val="Compact"/>
        <w:numPr>
          <w:ilvl w:val="0"/>
          <w:numId w:val="1011"/>
        </w:numPr>
      </w:pPr>
      <w:r>
        <w:t xml:space="preserve">[LOC-07]</w:t>
      </w:r>
      <w:r>
        <w:t xml:space="preserve"> </w:t>
      </w:r>
      <w:r>
        <w:rPr>
          <w:rStyle w:val="VerbatimChar"/>
        </w:rPr>
        <w:t xml:space="preserve">IPS_IDS/PHASE2_TUNING.md</w:t>
      </w:r>
    </w:p>
    <w:bookmarkEnd w:id="44"/>
    <w:bookmarkEnd w:id="45"/>
    <w:bookmarkStart w:id="46" w:name="conclusão"/>
    <w:p>
      <w:pPr>
        <w:pStyle w:val="Heading2"/>
      </w:pPr>
      <w:r>
        <w:t xml:space="preserve">7. Conclusão</w:t>
      </w:r>
    </w:p>
    <w:p>
      <w:pPr>
        <w:pStyle w:val="FirstParagraph"/>
      </w:pPr>
      <w:r>
        <w:t xml:space="preserve">Em síntese, OpenB0X organiza, em um único artefato, três dimensões complementares: memória</w:t>
      </w:r>
      <w:r>
        <w:t xml:space="preserve"> </w:t>
      </w:r>
      <w:r>
        <w:t xml:space="preserve">operacional (</w:t>
      </w:r>
      <w:r>
        <w:rPr>
          <w:rStyle w:val="VerbatimChar"/>
        </w:rPr>
        <w:t xml:space="preserve">ADV7ia</w:t>
      </w:r>
      <w:r>
        <w:t xml:space="preserve">), rastreabilidade documental (</w:t>
      </w:r>
      <w:r>
        <w:rPr>
          <w:rStyle w:val="VerbatimChar"/>
        </w:rPr>
        <w:t xml:space="preserve">Obsidian meta-vault</w:t>
      </w:r>
      <w:r>
        <w:t xml:space="preserve">) e visibilidade</w:t>
      </w:r>
      <w:r>
        <w:t xml:space="preserve"> </w:t>
      </w:r>
      <w:r>
        <w:t xml:space="preserve">defensiva (</w:t>
      </w:r>
      <w:r>
        <w:rPr>
          <w:rStyle w:val="VerbatimChar"/>
        </w:rPr>
        <w:t xml:space="preserve">ADV7Sec</w:t>
      </w:r>
      <w:r>
        <w:t xml:space="preserve">). O caso</w:t>
      </w:r>
      <w:r>
        <w:t xml:space="preserve"> </w:t>
      </w:r>
      <w:r>
        <w:rPr>
          <w:rStyle w:val="VerbatimChar"/>
        </w:rPr>
        <w:t xml:space="preserve">MXQ Pro 4K</w:t>
      </w:r>
      <w:r>
        <w:t xml:space="preserve">, por sua vez, cumpre papel analítico preciso: não</w:t>
      </w:r>
      <w:r>
        <w:t xml:space="preserve"> </w:t>
      </w:r>
      <w:r>
        <w:t xml:space="preserve">serve como curiosidade de mercado, mas como exemplo tecnicamente defensável de risco de cadeia de</w:t>
      </w:r>
      <w:r>
        <w:t xml:space="preserve"> </w:t>
      </w:r>
      <w:r>
        <w:t xml:space="preserve">suprimento, opacidade de firmware e exposição ampliada no contexto brasileiro.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OpenB0X</dc:title>
  <dc:creator/>
  <dc:language>pt-BR</dc:language>
  <cp:keywords/>
  <dcterms:created xsi:type="dcterms:W3CDTF">2026-04-26T02:36:10Z</dcterms:created>
  <dcterms:modified xsi:type="dcterms:W3CDTF">2026-04-26T02:36:10Z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