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CEUB — Introdução à Computação</w:t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</w:rPr>
        <w:t xml:space="preserve">Atividade 03 — Redes de Computadores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</w:rPr>
        <w:t xml:space="preserve">Aluno:</w:t>
      </w:r>
      <w:r>
        <w:rPr>
          <w:rFonts w:ascii="Arial" w:cs="Arial" w:eastAsia="Arial" w:hAnsi="Arial"/>
        </w:rPr>
        <w:t xml:space="preserve"> AOPS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Texto dissertativo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A rede de CFTV descrita exige baixa latência, alta largura de banda e roteamento dinâmico entre muitos nós, o que orienta cada escolha técnica a seguir.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01. RTSP frente ao HLS.</w:t>
      </w:r>
      <w:r>
        <w:rPr>
          <w:rFonts w:ascii="Arial" w:cs="Arial" w:eastAsia="Arial" w:hAnsi="Arial"/>
        </w:rPr>
        <w:t xml:space="preserve"> O RTSP é um protocolo de controle de sessão concebido para transmissão ao vivo, mantendo um canal persistente de comandos (PLAY, PAUSE, TEARDOWN) e transportando a mídia, em geral, sobre RTP/UDP. Já o HLS fragmenta o vídeo em segmentos servidos por HTTP/TCP, modelo voltado à distribuição escalável sob demanda. Para um CFTV em tempo real, o RTSP oferece duas vantagens decisivas: (i) latência muito menor — da ordem de centenas de milissegundos, contra vários segundos do HLS, que precisa acumular e bufferizar segmentos antes da reprodução; e (ii) transporte não orientado à conexão (RTP/UDP), que dispensa o estabelecimento e a retransmissão garantida do TCP, reduzindo atraso e sobrecarga e preservando a fluidez das imagens contínuas, além de permitir controle nativo da câmera (por exemplo, PTZ) pela própria sessão.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02. Meio físico e faixa de frequência.</w:t>
      </w:r>
      <w:r>
        <w:rPr>
          <w:rFonts w:ascii="Arial" w:cs="Arial" w:eastAsia="Arial" w:hAnsi="Arial"/>
        </w:rPr>
        <w:t xml:space="preserve"> As câmeras devem usar transmissão sem fio por radiofrequência (Wi-Fi), com a faixa de 5 GHz como a mais indicada (e 6 GHz, via Wi-Fi 6E, onde houver equipamento compatível). A faixa de 2,4 GHz é congestionada, oferece apenas três canais não sobrepostos e menor banda, sofrendo forte interferência num prédio comercial. A faixa de 5 GHz disponibiliza muito mais canais não sobrepostos, maior largura de banda e menos interferência, suportando o tráfego de centenas de câmeras 4K sem gargalos.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03. Pilha de protocolos.</w:t>
      </w:r>
      <w:r>
        <w:rPr>
          <w:rFonts w:ascii="Arial" w:cs="Arial" w:eastAsia="Arial" w:hAnsi="Arial"/>
        </w:rPr>
        <w:t xml:space="preserve"> Para as camadas física e de enlace, o padrão mais adequado da família IEEE 802.11 é o 802.11ax (Wi-Fi 6/6E), cujos recursos OFDMA e MU-MIMO atendem com eficiência à alta densidade de nós e à elevada vazão exigidas (o 802.11ac seria o mínimo aceitável). Na camada de rede, usa-se o protocolo IP com roteamento dinâmico por OSPF, protocolo de estado de enlace que converge bem em topologias com grande quantidade de nós e rotas dinâmicas. Na camada de transporte, o protocolo adequado é o UDP, por não ser orientado à conexão: sem handshake nem retransmissão, garante a baixa latência que o streaming RTSP/RTP em tempo real demanda.</w:t>
      </w:r>
    </w:p>
    <w:p>
      <w:pPr>
        <w:pageBreakBefore/>
      </w:pP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</w:rPr>
        <w:t xml:space="preserve">Atividade 04 — Segurança Cibernética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</w:rPr>
        <w:t xml:space="preserve">Cenário escolhido:</w:t>
      </w:r>
      <w:r>
        <w:rPr>
          <w:rFonts w:ascii="Arial" w:cs="Arial" w:eastAsia="Arial" w:hAnsi="Arial"/>
        </w:rPr>
        <w:t xml:space="preserve"> Dispositivos Domésticos/IoT Modificados — central de emulação/mídia local (TV-box Rockchip modificada) exposta à internet, correlacionada ao projeto ADV7Box / OpenBox v0.1.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1. Apresentação da infraestrutura</w:t>
      </w:r>
    </w:p>
    <w:p>
      <w:pPr>
        <w:spacing w:after="120" w:line="276"/>
        <w:jc w:val="both"/>
      </w:pPr>
      <w:r>
        <w:rPr>
          <w:rFonts w:ascii="Arial" w:cs="Arial" w:eastAsia="Arial" w:hAnsi="Arial"/>
        </w:rPr>
        <w:t xml:space="preserve">O ativo central é uma set-top box baseada em SoC Rockchip (linha RK32xx), originalmente vendida como aparelho de TV/emulação, reaproveitada como central de mídia local na rede doméstica. O aparelho roda Android/AOSP modificado, expõe serviços de streaming e compartilhamento de arquivos e, na configuração de fábrica, comunica-se livremente com a internet. Esse perfil de dispositivo é alvo conhecido de campanhas de comprometimento em larga escala (BadBox 2.0 e botnet Vo1d), que já distribuem firmware infectado na cadeia de suprimentos.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2. Mapeamento de ativos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</w:rPr>
        <w:t xml:space="preserve">Controle físico/lógico do dispositivo:</w:t>
      </w:r>
      <w:r>
        <w:rPr>
          <w:rFonts w:ascii="Arial" w:cs="Arial" w:eastAsia="Arial" w:hAnsi="Arial"/>
        </w:rPr>
        <w:t xml:space="preserve"> acesso root, firmware no eMMC e bootloader.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</w:rPr>
        <w:t xml:space="preserve">Dados do usuário:</w:t>
      </w:r>
      <w:r>
        <w:rPr>
          <w:rFonts w:ascii="Arial" w:cs="Arial" w:eastAsia="Arial" w:hAnsi="Arial"/>
        </w:rPr>
        <w:t xml:space="preserve"> credenciais de contas, biblioteca de mídia, metadados de uso e tráfego de navegação.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</w:rPr>
        <w:t xml:space="preserve">Posição na rede:</w:t>
      </w:r>
      <w:r>
        <w:rPr>
          <w:rFonts w:ascii="Arial" w:cs="Arial" w:eastAsia="Arial" w:hAnsi="Arial"/>
        </w:rPr>
        <w:t xml:space="preserve"> o box compartilha a LAN doméstica e pode servir de pivô para os demais dispositivos (notebooks, celulares, câmeras, automação).</w:t>
      </w:r>
    </w:p>
    <w:p>
      <w:pPr>
        <w:spacing w:after="120" w:line="276"/>
        <w:jc w:val="left"/>
      </w:pPr>
      <w:r>
        <w:rPr>
          <w:rFonts w:ascii="Arial" w:cs="Arial" w:eastAsia="Arial" w:hAnsi="Arial"/>
          <w:b/>
          <w:bCs/>
        </w:rPr>
        <w:t xml:space="preserve">Integridade do serviço:</w:t>
      </w:r>
      <w:r>
        <w:rPr>
          <w:rFonts w:ascii="Arial" w:cs="Arial" w:eastAsia="Arial" w:hAnsi="Arial"/>
        </w:rPr>
        <w:t xml:space="preserve"> disponibilidade da central de mídia e confiança do firmware em execução.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3. Matriz de Risco</w:t>
      </w:r>
    </w:p>
    <w:p>
      <w:pPr>
        <w:spacing w:after="120" w:line="276"/>
        <w:jc w:val="left"/>
      </w:pPr>
      <w:r>
        <w:rPr>
          <w:rFonts w:ascii="Arial" w:cs="Arial" w:eastAsia="Arial" w:hAnsi="Arial"/>
        </w:rPr>
        <w:t xml:space="preserve">Score = Probabilidade × Impacto. Classificação: 1–6 Baixo · 8–12 Médio · 15–25 Crítico/Alto.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1100"/>
        <w:gridCol w:w="4140"/>
        <w:gridCol w:w="760"/>
        <w:gridCol w:w="800"/>
        <w:gridCol w:w="760"/>
        <w:gridCol w:w="1180"/>
      </w:tblGrid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#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Categoria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Vulnerabilidade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Impacto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Score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9E7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Classificação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Hardware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Interface serial/UART e modo maskrom acessíveis; bootloader desbloqueado permitem reflash do eMMC soldado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Baixo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Hardware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Firmware de fábrica pré-infectado na cadeia de suprimentos (BadBox 2.0 / Vo1d) — backdoor embarcado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Software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ADB exposto na porta 5555 e credenciais de fábrica (admin/admin) acessíveis pela internet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25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Software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AOSP desatualizado e apps de mídia/emulação de fontes não confiáveis (sem assinatura/patches)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Ausência de segmentação: box na mesma VLAN da casa e exposto via UPnP/port forwarding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20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Crítico</w:t>
            </w:r>
          </w:p>
        </w:tc>
      </w:tr>
      <w:tr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Redes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Tráfego e DNS em claro (sem TLS/DoH) — sujeito a interceptação e sequestro de DNS (MITM)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</w:t>
            </w:r>
          </w:p>
        </w:tc>
        <w:tc>
          <w:tcPr>
            <w:tcW w:type="dxa" w:w="1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Médio</w:t>
            </w:r>
          </w:p>
        </w:tc>
      </w:tr>
    </w:tbl>
    <w:p>
      <w:pPr>
        <w:spacing w:after="120" w:before="120"/>
        <w:jc w:val="both"/>
      </w:pPr>
      <w:r>
        <w:rPr>
          <w:rFonts w:ascii="Arial" w:cs="Arial" w:eastAsia="Arial" w:hAnsi="Arial"/>
          <w:b/>
          <w:bCs/>
        </w:rPr>
        <w:t xml:space="preserve">Justificativas resumidas:</w:t>
      </w:r>
      <w:r>
        <w:rPr>
          <w:rFonts w:ascii="Arial" w:cs="Arial" w:eastAsia="Arial" w:hAnsi="Arial"/>
        </w:rPr>
        <w:t xml:space="preserve"> H2 e S1 recebem nota máxima porque combinam alta frequência real (firmware infectado de fábrica; portas/credenciais padrão abertas) com impacto desastroso (controle remoto root). R1 é crítico porque a falta de segmentação transforma um único dispositivo comprometido em ponto de pivô para toda a residência. H1 fica baixo por exigir acesso físico e ferramentas específicas (raro). S2 e R2 são médios: prováveis, mas com impacto contornável por atualização e cifragem.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</w:rPr>
        <w:t xml:space="preserve">4. Plano de Mitigação Técnico (riscos Alto/Crítico)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H2 — Firmware pré-infectado.</w:t>
      </w:r>
      <w:r>
        <w:rPr>
          <w:rFonts w:ascii="Arial" w:cs="Arial" w:eastAsia="Arial" w:hAnsi="Arial"/>
        </w:rPr>
        <w:t xml:space="preserve"> Substituir o firmware de fábrica por imagem limpa e auditável (Armbian/AOSP verificado, hardening do OpenBox v0.1); validar integridade com baseline AIDE e verificação de hash no boot; executar fingerprint inicial (Fase 0) antes de colocar o aparelho em produção.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S1 — ADB e credenciais padrão.</w:t>
      </w:r>
      <w:r>
        <w:rPr>
          <w:rFonts w:ascii="Arial" w:cs="Arial" w:eastAsia="Arial" w:hAnsi="Arial"/>
        </w:rPr>
        <w:t xml:space="preserve"> Desabilitar o ADB e fechar a porta 5555; trocar todas as credenciais de fábrica por senhas fortes; aplicar kill switch nftables com política default-deny de entrada, bloqueando qualquer acesso administrativo a partir da internet.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R1 — Falta de segmentação.</w:t>
      </w:r>
      <w:r>
        <w:rPr>
          <w:rFonts w:ascii="Arial" w:cs="Arial" w:eastAsia="Arial" w:hAnsi="Arial"/>
        </w:rPr>
        <w:t xml:space="preserve"> Isolar o box em VLAN dedicada com firewall nftables default-deny entre segmentos; remover regras UPnP/port forwarding; rotear a saída por túnel WireGuard full-tunnel com DNS cifrado (Pi-hole/Unbound), impedindo que o dispositivo alcance lateralmente a LAN doméstica e contendo qualquer comprometimento ao próprio segmento.</w:t>
      </w:r>
    </w:p>
    <w:p>
      <w:pPr>
        <w:spacing w:after="120" w:line="276"/>
        <w:jc w:val="both"/>
      </w:pPr>
      <w:r>
        <w:rPr>
          <w:rFonts w:ascii="Arial" w:cs="Arial" w:eastAsia="Arial" w:hAnsi="Arial"/>
          <w:b/>
          <w:bCs/>
        </w:rPr>
        <w:t xml:space="preserve">Defesa em profundidade:</w:t>
      </w:r>
      <w:r>
        <w:rPr>
          <w:rFonts w:ascii="Arial" w:cs="Arial" w:eastAsia="Arial" w:hAnsi="Arial"/>
        </w:rPr>
        <w:t xml:space="preserve"> segmentação de rede, firewall default-deny, firmware verificado e monitoramento local cobrem os três eixos (Hardware, Software e Redes), reduzindo os riscos críticos a níveis aceitáveis sem depender de um único controle.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0F6E5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18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2026-06-22T00:31:17.447Z</dcterms:created>
  <dcterms:modified xsi:type="dcterms:W3CDTF">2026-06-22T00:31:17.448Z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