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Румянцев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Олегович,</w:t>
      </w:r>
      <w:r>
        <w:t xml:space="preserve"> </w:t>
      </w:r>
      <w:r>
        <w:t xml:space="preserve">НБИбд-02-23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2 Этап: (рис. ??, ??, ??, ??, ??, ??, ??, ??, ??, ??, ??, ??, ??, ??, ??, ??, ??, ??, ??, ??, ??, ??, ??, ??).</w:t>
      </w:r>
    </w:p>
    <w:p>
      <w:pPr>
        <w:pStyle w:val="CaptionedFigure"/>
      </w:pPr>
      <w:r>
        <w:drawing>
          <wp:inline>
            <wp:extent cx="3733800" cy="1931015"/>
            <wp:effectExtent b="0" l="0" r="0" t="0"/>
            <wp:docPr descr="Задание 1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>
      <w:pPr>
        <w:pStyle w:val="CaptionedFigure"/>
      </w:pPr>
      <w:r>
        <w:drawing>
          <wp:inline>
            <wp:extent cx="3733800" cy="1931015"/>
            <wp:effectExtent b="0" l="0" r="0" t="0"/>
            <wp:docPr descr="Задание 2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BodyText"/>
      </w:pPr>
      <w:r>
        <w:t xml:space="preserve">Только id_rsa.pub, так как он является открытым.</w:t>
      </w:r>
    </w:p>
    <w:p>
      <w:pPr>
        <w:pStyle w:val="CaptionedFigure"/>
      </w:pPr>
      <w:r>
        <w:drawing>
          <wp:inline>
            <wp:extent cx="3733800" cy="1931015"/>
            <wp:effectExtent b="0" l="0" r="0" t="0"/>
            <wp:docPr descr="Задание 3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-r = Recursively copy entire directories. Note that scp follows symbolic links encountered in the tree traversal.</w:t>
      </w:r>
    </w:p>
    <w:p>
      <w:pPr>
        <w:pStyle w:val="CaptionedFigure"/>
      </w:pPr>
      <w:r>
        <w:drawing>
          <wp:inline>
            <wp:extent cx="3733800" cy="1957416"/>
            <wp:effectExtent b="0" l="0" r="0" t="0"/>
            <wp:docPr descr="Задание 4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</w:t>
      </w:r>
    </w:p>
    <w:p>
      <w:pPr>
        <w:pStyle w:val="BodyText"/>
      </w:pPr>
      <w:r>
        <w:t xml:space="preserve"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>
      <w:pPr>
        <w:pStyle w:val="CaptionedFigure"/>
      </w:pPr>
      <w:r>
        <w:drawing>
          <wp:inline>
            <wp:extent cx="3733800" cy="1957416"/>
            <wp:effectExtent b="0" l="0" r="0" t="0"/>
            <wp:docPr descr="Задание 5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</w:t>
      </w:r>
    </w:p>
    <w:p>
      <w:pPr>
        <w:pStyle w:val="BodyText"/>
      </w:pPr>
      <w:r>
        <w:t xml:space="preserve"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>
      <w:pPr>
        <w:pStyle w:val="CaptionedFigure"/>
      </w:pPr>
      <w:r>
        <w:drawing>
          <wp:inline>
            <wp:extent cx="3733800" cy="1508864"/>
            <wp:effectExtent b="0" l="0" r="0" t="0"/>
            <wp:docPr descr="Задание 6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</w:t>
      </w:r>
    </w:p>
    <w:p>
      <w:pPr>
        <w:numPr>
          <w:ilvl w:val="0"/>
          <w:numId w:val="1001"/>
        </w:numPr>
      </w:pPr>
      <w:r>
        <w:t xml:space="preserve">Проверить, есть ли другая версия этой программы (специально для терминала)</w:t>
      </w:r>
    </w:p>
    <w:p>
      <w:pPr>
        <w:numPr>
          <w:ilvl w:val="0"/>
          <w:numId w:val="1001"/>
        </w:numPr>
      </w:pPr>
      <w:r>
        <w:t xml:space="preserve">Настроить сервер, чтобы он поддерживал вывод информации на экран компьютера</w:t>
      </w:r>
    </w:p>
    <w:p>
      <w:pPr>
        <w:pStyle w:val="CaptionedFigure"/>
      </w:pPr>
      <w:r>
        <w:drawing>
          <wp:inline>
            <wp:extent cx="3733800" cy="1835754"/>
            <wp:effectExtent b="0" l="0" r="0" t="0"/>
            <wp:docPr descr="Задание 7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7</w:t>
      </w:r>
    </w:p>
    <w:p>
      <w:pPr>
        <w:pStyle w:val="CaptionedFigure"/>
      </w:pPr>
      <w:r>
        <w:drawing>
          <wp:inline>
            <wp:extent cx="3733800" cy="2698571"/>
            <wp:effectExtent b="0" l="0" r="0" t="0"/>
            <wp:docPr descr="Задание 8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8</w:t>
      </w:r>
    </w:p>
    <w:p>
      <w:pPr>
        <w:pStyle w:val="BodyText"/>
      </w:pPr>
      <w:r>
        <w:t xml:space="preserve">FastQC supports files in the following formats</w:t>
      </w:r>
    </w:p>
    <w:p>
      <w:pPr>
        <w:pStyle w:val="BodyText"/>
      </w:pPr>
      <w:r>
        <w:t xml:space="preserve">FastQ (all quality encoding variants)</w:t>
      </w:r>
      <w:r>
        <w:t xml:space="preserve"> </w:t>
      </w:r>
      <w:r>
        <w:t xml:space="preserve">Casava FastQ files*</w:t>
      </w:r>
      <w:r>
        <w:t xml:space="preserve"> </w:t>
      </w:r>
      <w:r>
        <w:t xml:space="preserve">Colorspace FastQ</w:t>
      </w:r>
      <w:r>
        <w:t xml:space="preserve"> </w:t>
      </w:r>
      <w:r>
        <w:t xml:space="preserve">GZip compressed FastQ</w:t>
      </w:r>
      <w:r>
        <w:t xml:space="preserve"> </w:t>
      </w:r>
      <w:r>
        <w:t xml:space="preserve">SAM</w:t>
      </w:r>
      <w:r>
        <w:t xml:space="preserve"> </w:t>
      </w:r>
      <w:r>
        <w:t xml:space="preserve">BAM</w:t>
      </w:r>
      <w:r>
        <w:t xml:space="preserve"> </w:t>
      </w:r>
      <w:r>
        <w:t xml:space="preserve">SAM/BAM Mapped only (normally used for colorspace data)</w:t>
      </w:r>
    </w:p>
    <w:p>
      <w:pPr>
        <w:pStyle w:val="CaptionedFigure"/>
      </w:pPr>
      <w:r>
        <w:drawing>
          <wp:inline>
            <wp:extent cx="3733800" cy="2449093"/>
            <wp:effectExtent b="0" l="0" r="0" t="0"/>
            <wp:docPr descr="Задание 9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9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9</w:t>
      </w:r>
    </w:p>
    <w:p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10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11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12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12</w:t>
      </w:r>
    </w:p>
    <w:p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13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13</w:t>
      </w:r>
    </w:p>
    <w:p>
      <w:pPr>
        <w:pStyle w:val="BodyText"/>
      </w:pPr>
      <w:r>
        <w:t xml:space="preserve"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14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14</w:t>
      </w:r>
    </w:p>
    <w:p>
      <w:pPr>
        <w:pStyle w:val="BodyText"/>
      </w:pPr>
      <w:r>
        <w:t xml:space="preserve">Запущенная программа потребляет ресурсы CPU, а остановленная нет.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15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15</w:t>
      </w:r>
    </w:p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16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16</w:t>
      </w:r>
    </w:p>
    <w:p>
      <w:pPr>
        <w:pStyle w:val="BodyText"/>
      </w:pPr>
      <w:r>
        <w:t xml:space="preserve"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17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17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18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18</w:t>
      </w:r>
    </w:p>
    <w:p>
      <w:pPr>
        <w:pStyle w:val="SourceCode"/>
      </w:pPr>
      <w:r>
        <w:rPr>
          <w:rStyle w:val="VerbatimChar"/>
        </w:rPr>
        <w:t xml:space="preserve">echo "306174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rate" &gt; bowtie.log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19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19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20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20</w:t>
      </w:r>
    </w:p>
    <w:p>
      <w:pPr>
        <w:pStyle w:val="BodyText"/>
      </w:pPr>
      <w:r>
        <w:t xml:space="preserve">exit завершает работу tmux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21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21</w:t>
      </w:r>
    </w:p>
    <w:p>
      <w:pPr>
        <w:pStyle w:val="BodyText"/>
      </w:pPr>
      <w:r>
        <w:t xml:space="preserve">Мы заходили на сервер с терминала, который и закрыли, а tmux будет продолжать свою работу на сервере.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22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22</w:t>
      </w:r>
    </w:p>
    <w:p>
      <w:pPr>
        <w:pStyle w:val="BodyText"/>
      </w:pPr>
      <w: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23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23</w:t>
      </w:r>
    </w:p>
    <w:p>
      <w:pPr>
        <w:pStyle w:val="BodyText"/>
      </w:pPr>
      <w:r>
        <w:t xml:space="preserve">Ctrl+b c - создать новое окно;</w:t>
      </w:r>
    </w:p>
    <w:p>
      <w:pPr>
        <w:pStyle w:val="BodyText"/>
      </w:pPr>
      <w:r>
        <w:t xml:space="preserve">Ctrl+b w - выбрать окно из списка;</w:t>
      </w:r>
    </w:p>
    <w:p>
      <w:pPr>
        <w:pStyle w:val="BodyText"/>
      </w:pPr>
      <w:r>
        <w:t xml:space="preserve">Ctrl+b 0-9 - открыть окно по его номеру;</w:t>
      </w:r>
    </w:p>
    <w:p>
      <w:pPr>
        <w:pStyle w:val="BodyText"/>
      </w:pPr>
      <w:r>
        <w:t xml:space="preserve">Ctrl+b , - переименовать текущее окно;</w:t>
      </w:r>
    </w:p>
    <w:p>
      <w:pPr>
        <w:pStyle w:val="BodyText"/>
      </w:pPr>
      <w:r>
        <w:t xml:space="preserve">Ctrl+b % - разделить текущую панель по горизонтали;</w:t>
      </w:r>
    </w:p>
    <w:p>
      <w:pPr>
        <w:pStyle w:val="BodyText"/>
      </w:pPr>
      <w:r>
        <w:t xml:space="preserve">Ctrl+b ” - разделить текущую панель по вертикали;</w:t>
      </w:r>
    </w:p>
    <w:p>
      <w:pPr>
        <w:pStyle w:val="BodyText"/>
      </w:pPr>
      <w:r>
        <w:t xml:space="preserve">Ctrl+b стрелка - перейти на панель, находящуюся в стороне, куда указывает стрелка;</w:t>
      </w:r>
    </w:p>
    <w:p>
      <w:pPr>
        <w:pStyle w:val="BodyText"/>
      </w:pPr>
      <w:r>
        <w:t xml:space="preserve">Ctrl+b Ctrl+стрелка - изменить размер текущей панели;</w:t>
      </w:r>
    </w:p>
    <w:p>
      <w:pPr>
        <w:pStyle w:val="BodyText"/>
      </w:pPr>
      <w:r>
        <w:t xml:space="preserve">Ctrl+b o - перейти на следующую панель;</w:t>
      </w:r>
    </w:p>
    <w:p>
      <w:pPr>
        <w:pStyle w:val="BodyText"/>
      </w:pPr>
      <w:r>
        <w:t xml:space="preserve">Ctrl+b ; - переключаться между текущей и предыдущей панелью;</w:t>
      </w:r>
    </w:p>
    <w:p>
      <w:pPr>
        <w:pStyle w:val="BodyText"/>
      </w:pPr>
      <w:r>
        <w:t xml:space="preserve">Ctrl+b x - закрыть текущую панель;</w:t>
      </w:r>
    </w:p>
    <w:p>
      <w:pPr>
        <w:pStyle w:val="BodyText"/>
      </w:pPr>
      <w:r>
        <w:t xml:space="preserve">Ctrl+b [ - войти в режим копирования (подробнее ниже);</w:t>
      </w:r>
    </w:p>
    <w:p>
      <w:pPr>
        <w:pStyle w:val="BodyText"/>
      </w:pPr>
      <w:r>
        <w:t xml:space="preserve">Ctrl+b ] - вставить из внутреннего буфера обмена tmux;</w:t>
      </w:r>
    </w:p>
    <w:p>
      <w:pPr>
        <w:pStyle w:val="BodyText"/>
      </w:pPr>
      <w:r>
        <w:t xml:space="preserve">Ctrl+b d - отключится от текущей сессии;</w:t>
      </w:r>
    </w:p>
    <w:p>
      <w:pPr>
        <w:pStyle w:val="BodyText"/>
      </w:pPr>
      <w:r>
        <w:t xml:space="preserve">Ctrl+b : - открыть командную строку.</w:t>
      </w:r>
    </w:p>
    <w:p>
      <w:pPr>
        <w:pStyle w:val="CaptionedFigure"/>
      </w:pPr>
      <w:r>
        <w:drawing>
          <wp:inline>
            <wp:extent cx="3733800" cy="1604367"/>
            <wp:effectExtent b="0" l="0" r="0" t="0"/>
            <wp:docPr descr="Задание 24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24</w:t>
      </w:r>
    </w:p>
    <w:p>
      <w:pPr>
        <w:pStyle w:val="BodyText"/>
      </w:pPr>
      <w:r>
        <w:t xml:space="preserve">Можно закрыть одно из делений вкладки выполнив команды Ctrl+B и Х.</w:t>
      </w:r>
    </w:p>
    <w:p>
      <w:pPr>
        <w:pStyle w:val="BodyText"/>
      </w:pPr>
      <w:r>
        <w:t xml:space="preserve">По половинам</w:t>
      </w:r>
      <w:r>
        <w:t xml:space="preserve"> </w:t>
      </w:r>
      <w:r>
        <w:t xml:space="preserve">“</w:t>
      </w:r>
      <w:r>
        <w:t xml:space="preserve">разделенной</w:t>
      </w:r>
      <w:r>
        <w:t xml:space="preserve">”</w:t>
      </w:r>
      <w:r>
        <w:t xml:space="preserve"> </w:t>
      </w:r>
      <w:r>
        <w:t xml:space="preserve">вкладки можно перемещаться при помощи Ctrl+B и стрелок - как описано в задании выше.</w:t>
      </w:r>
    </w:p>
    <w:p>
      <w:pPr>
        <w:pStyle w:val="BodyText"/>
      </w:pPr>
      <w:r>
        <w:t xml:space="preserve">Делить экран можно только в текущей вкладке tmux, а не во всех вкладках одновременно.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 курс и освежил в памяти навыки работы с более сложными командами в Линукс.</w:t>
      </w:r>
    </w:p>
    <w:bookmarkEnd w:id="96"/>
    <w:bookmarkStart w:id="9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Введение в Linux</w:t>
      </w:r>
    </w:p>
    <w:bookmarkStart w:id="97" w:name="refs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Румянцев Артём Олегович, НБИбд-02-23</dc:creator>
  <dc:language>ru-RU</dc:language>
  <cp:keywords/>
  <dcterms:created xsi:type="dcterms:W3CDTF">2024-05-12T21:45:29Z</dcterms:created>
  <dcterms:modified xsi:type="dcterms:W3CDTF">2024-05-12T21:45:29Z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