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AJTool en ORCA: qué cambió y por qué</w:t>
      </w:r>
    </w:p>
    <w:p>
      <w:pPr>
        <w:spacing w:after="120"/>
      </w:pPr>
      <w:r>
        <w:t xml:space="preserve">Documento para Joaquín · tools calculate_cpk_ppk y run_msa_analysis · rama orca-federado del repo AJTool</w:t>
      </w:r>
    </w:p>
    <w:p>
      <w:pPr>
        <w:pStyle w:val="Heading1"/>
        <w:spacing w:after="120" w:before="280"/>
      </w:pPr>
      <w:r>
        <w:t xml:space="preserve">1. Resumen</w:t>
      </w:r>
    </w:p>
    <w:p>
      <w:pPr>
        <w:spacing w:after="120"/>
      </w:pPr>
      <w:r>
        <w:t xml:space="preserve">Las dos tools salían "offline" en el dashboard de Carlos y, además, aunque las hubieran registrado, no habrían funcionado con la plataforma: estaban construidas para que otro sistema las llamara, y en ORCA nadie llama a las tools. Se reconstruyeron siguiendo el estándar que Carlos documenta en su repo (carcamfer/IsoTools, rama feature/filter, carpeta plantillas/integracion). La versión anterior quedó completa en la carpeta archive/ y hay un respaldo comprimido, así que no se perdió nada.</w:t>
      </w:r>
    </w:p>
    <w:p>
      <w:pPr>
        <w:pStyle w:val="Heading1"/>
        <w:spacing w:after="120" w:before="280"/>
      </w:pPr>
      <w:r>
        <w:t xml:space="preserve">2. Por qué salían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dashboard no revisa nuestro Railway. </w:t>
      </w:r>
      <w:r>
        <w:rPr>
          <w:b w:val="false"/>
          <w:bCs w:val="false"/>
        </w:rPr>
        <w:t xml:space="preserve">Dibuja cada tool a partir del archivo deployments.json del core, y solo sondea /health si la entrada tiene un subdominio. Las nuestras estaban como "pending", sin subdominio y con owner "pendiente de asignar", así que siempre aparecen como "sin desplegar".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dominios no están conectados. </w:t>
      </w:r>
      <w:r>
        <w:rPr>
          <w:b w:val="false"/>
          <w:bCs w:val="false"/>
        </w:rPr>
        <w:t xml:space="preserve">ccp.orcalabs.mx y rma.orcalabs.mx responden el 404 de Railway porque no están atados a ningún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Faltaba la API key del core. </w:t>
      </w:r>
      <w:r>
        <w:rPr>
          <w:b w:val="false"/>
          <w:bCs w:val="false"/>
        </w:rPr>
        <w:t xml:space="preserve">Sin ella la tool corre pero el core le responde 401 y nunca lee ni publica un evento. Esto no causa el "offline", pero sí impide que funcione.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diseño anterior era incompatible. </w:t>
      </w:r>
      <w:r>
        <w:rPr>
          <w:b w:val="false"/>
          <w:bCs w:val="false"/>
        </w:rPr>
        <w:t xml:space="preserve">Esperaba recibir llamadas, usaba otro formato de evento y exigía datos que los eventos reales no traen.</w:t>
      </w:r>
    </w:p>
    <w:p>
      <w:pPr>
        <w:pStyle w:val="Heading1"/>
        <w:spacing w:after="120" w:before="280"/>
      </w:pPr>
      <w:r>
        <w:t xml:space="preserve">3. Cómo funciona ORCA (lo mínimo que hay que saber)</w:t>
      </w:r>
    </w:p>
    <w:p>
      <w:pPr>
        <w:spacing w:after="120"/>
      </w:pPr>
      <w:r>
        <w:t xml:space="preserve">El core guarda todos los eventos de la planta en una tabla con un número de secuencia. Cada tool "federada" consulta cada pocos segundos si hay eventos nuevos para ella (GET /events/subscriptions/:toolId?since_seq=N), hace su trabajo y publica el resultado con POST /events. Las reglas de communication-rules.json deciden quién recibe ese resultado, así se forma la cadena entre tools. Todo evento usa el mismo sobre (Industrial Event Standard) y el core rechaza cualquier campo extra en él.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calculate_cpk_ppk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run_msa_analysis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Cláusula ISO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9.1.3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7.1.5.2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MEASUREMENTS_CAPTURED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NEW_DEVICE_REGISTERED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Produce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CAPABILITY_BELOW_TARGET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MSA_VALIDATED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 a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manage_product_specs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calculate_control_charts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Subdominio / puerto local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ccp / 8108</w:t>
            </w:r>
          </w:p>
        </w:tc>
        <w:tc>
          <w:tcPr>
            <w:tcW w:type="dxa" w:w="3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rma / 8109</w:t>
            </w:r>
          </w:p>
        </w:tc>
      </w:tr>
    </w:tbl>
    <w:p>
      <w:pPr>
        <w:pStyle w:val="Heading1"/>
        <w:spacing w:after="120" w:before="280"/>
      </w:pPr>
      <w:r>
        <w:t xml:space="preserve">4. Qué se cambió</w:t>
      </w:r>
    </w:p>
    <w:p>
      <w:pPr>
        <w:pStyle w:val="Heading2"/>
        <w:spacing w:after="80" w:before="200"/>
      </w:pPr>
      <w:r>
        <w:t xml:space="preserve">4.1 Backend (ambas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Consulta por poll en lugar de recibir llamadas. </w:t>
      </w:r>
      <w:r>
        <w:rPr>
          <w:b w:val="false"/>
          <w:bCs w:val="false"/>
        </w:rPr>
        <w:t xml:space="preserve">Arranca desde la punta de los eventos (nunca desde el principio), guarda su cursor y respeta el 429 del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Formato oficial. </w:t>
      </w:r>
      <w:r>
        <w:rPr>
          <w:b w:val="false"/>
          <w:bCs w:val="false"/>
        </w:rPr>
        <w:t xml:space="preserve">Los eventos que publica usan el sobre del core y llevan causation_id con el evento que los causó. Los ids son deterministas (UUID v5), por lo que reprocesar un evento no duplica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 en Postgres con respaldo en memoria. </w:t>
      </w:r>
      <w:r>
        <w:rPr>
          <w:b w:val="false"/>
          <w:bCs w:val="false"/>
        </w:rPr>
        <w:t xml:space="preserve">Tablas studies, consumer_cursors y spec_cache. Si la base se cae, la tool sigue arriba y avisa en /ready y en la pantalla de Integración.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CORE_PUBLISH. </w:t>
      </w:r>
      <w:r>
        <w:rPr>
          <w:b w:val="false"/>
          <w:bCs w:val="false"/>
        </w:rPr>
        <w:t xml:space="preserve">shadow (por defecto) calcula y guarda sin publicar; live publica. Se cambia a live en el mismo momento en que se registra la tool, para no duplicar eventos con el manejador de respaldo del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Seguridad. </w:t>
      </w:r>
      <w:r>
        <w:rPr>
          <w:b w:val="false"/>
          <w:bCs w:val="false"/>
        </w:rPr>
        <w:t xml:space="preserve">SSO OIDC con la plantilla de Carlos copiada sin cambios, /health y /ready abiertos, /api con 401 sin sesión. El nombre de quien firma un estudio sale de la sesión, nunca del formulario.</w:t>
      </w:r>
    </w:p>
    <w:p>
      <w:pPr>
        <w:pStyle w:val="Heading2"/>
        <w:spacing w:after="80" w:before="200"/>
      </w:pPr>
      <w:r>
        <w:t xml:space="preserve">4.2 calculate_cpk_ppk (Angel)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Cp/Cpk con sigma dentro (rango móvil / 1.128) y Pp/Ppk con sigma global (n − 1), más ppm esperado, nivel sigma y estatus (capable, marginal, not_capable).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Los límites USL/LSL ya no se esperan en la medición: se leen de PRODUCT_SPEC_UPDATED. Si una característica no tiene especificación, el estudio queda "omitido" con la razón.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Publica CAPABILITY_BELOW_TARGET solo cuando Cpk &lt; 1.33 (valor por defecto, configurable por evento).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ingeniero también puede capturar un estudio manual y escalarlo con su firma.</w:t>
      </w:r>
    </w:p>
    <w:p>
      <w:pPr>
        <w:pStyle w:val="Heading2"/>
        <w:spacing w:after="80" w:before="200"/>
      </w:pPr>
      <w:r>
        <w:t xml:space="preserve">4.3 run_msa_analysis (Joaquín)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equipo registrado abre un estudio Gage R&amp;R pendiente, porque el registro real no trae lecturas.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Pantalla de captura con cuadrícula de piezas por operador y ensayo; acepta pegar directo desde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Cálculo AIAG por promedios y rangos (2–3 operadores, 2–3 ensayos, 2–10 piezas) con constantes K1, K2 y K3. Veredicto: aceptable si %GRR &lt; 10 y ndc ≥ 5; marginal entre 10 y 30; inaceptable por encima de 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Publica MSA_VALIDATED con todos los veredictos; la regla del core solo enruta los aceptables hacia calculate_control_charts. El evento MSA_NOT_ACCEPTABLE de la versión anterior no existe en la plataforma y se eliminó.</w:t>
      </w:r>
    </w:p>
    <w:p>
      <w:pPr>
        <w:pStyle w:val="Heading2"/>
        <w:spacing w:after="80" w:before="200"/>
      </w:pPr>
      <w:r>
        <w:t xml:space="preserve">4.4 Frontend</w:t>
      </w:r>
    </w:p>
    <w:p>
      <w:pPr>
        <w:spacing w:after="120"/>
      </w:pPr>
      <w:r>
        <w:t xml:space="preserve">React 19, Vite 7 y Tailwind v4 con el tema oscuro "Control Room" del dashboard, tomado de la plantilla de Carlos. Cada tool tiene tres o cuatro pantallas: Estudios, Nuevo estudio o Captura, Detalle del estudio (con trazabilidad y estado de publicación) e Integración (estado del poll, del core, de la persistencia y del modo de publicación). El frontend se sirve desde el mismo servicio que el backend.</w:t>
      </w:r>
    </w:p>
    <w:p>
      <w:pPr>
        <w:pStyle w:val="Heading2"/>
        <w:spacing w:after="80" w:before="200"/>
      </w:pPr>
      <w:r>
        <w:t xml:space="preserve">4.5 Criterios editables, con verificación (nuevo)</w:t>
      </w:r>
    </w:p>
    <w:p>
      <w:pPr>
        <w:spacing w:after="120"/>
      </w:pPr>
      <w:r>
        <w:t xml:space="preserve">Los valores que deciden "capaz" o "aceptable" ya no están fijos en el código. Se editan en la pestaña Criterios de cada tool, y el cambio es deliberadamente de dos 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Vista previa. </w:t>
      </w:r>
      <w:r>
        <w:rPr>
          <w:b w:val="false"/>
          <w:bCs w:val="false"/>
        </w:rPr>
        <w:t xml:space="preserve">Muestra el antes y después, avisa de cada valor que se aparta de la referencia (por ejemplo, un Cpk mínimo menor que 1.33 o un %GRR aceptable mayor que 10%) y calcula qué habría significado para los estudios ya registrados. No escribe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Confirmación. </w:t>
      </w:r>
      <w:r>
        <w:rPr>
          <w:b w:val="false"/>
          <w:bCs w:val="false"/>
        </w:rPr>
        <w:t xml:space="preserve">Pide el motivo del cambio y un reconocimiento explícito. El servidor rechaza cualquier cambio sin confirmación (error 428), sin motivo (422) o sobre una versión vieja (409, para que dos personas no se pisen).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Historial. </w:t>
      </w:r>
      <w:r>
        <w:rPr>
          <w:b w:val="false"/>
          <w:bCs w:val="false"/>
        </w:rPr>
        <w:t xml:space="preserve">Cada cambio queda con quién, cuándo, por qué y los valores antes y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reclasifica el pasado. </w:t>
      </w:r>
      <w:r>
        <w:rPr>
          <w:b w:val="false"/>
          <w:bCs w:val="false"/>
        </w:rPr>
        <w:t xml:space="preserve">Cada estudio guarda los criterios con los que se evaluó, y el evento que se publica los lleva dentro (acceptanceCriteria en MSA; minimumCpkSource y criteriaVersion en Cpk).</w:t>
      </w:r>
    </w:p>
    <w:p>
      <w:pPr>
        <w:spacing w:after="120"/>
      </w:pPr>
      <w:r>
        <w:t xml:space="preserve">Qué se puede cambiar: en Cpk, el Cpk mínimo (1.33), el límite de "marginal" (1.0), la muestra recomendada (25) y excepciones por característica, como 1.67 en las críticas. En MSA, el %GRR aceptable (10), el %GRR marginal (30) y las categorías distintas mínimas (5). En Cpk, el valor del evento o del formulario manda sobre la excepción, y esta sobre el valor general.</w:t>
      </w:r>
    </w:p>
    <w:p>
      <w:pPr>
        <w:pStyle w:val="Heading2"/>
        <w:spacing w:after="80" w:before="200"/>
      </w:pPr>
      <w:r>
        <w:t xml:space="preserve">4.6 Prioridad y resumen (nuevo)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estudio recibe una prioridad (crítica, alta, media o baja) calculada al leerlo, no guardada, con la razón en una frase.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Cpk: no capaz es crítica; marginal, publicación detenida o error es alta; sin especificación es media. MSA: inaceptable es crítica; marginal es alta; un equipo registrado sin estudio sube de prioridad cada día que espera.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pantalla de Estudios muestra cuántos requieren atención, el panel "Qué atender primero" y permite ordenar por prioridad o filtrar solo lo urgente.</w:t>
      </w:r>
    </w:p>
    <w:p>
      <w:pPr>
        <w:pStyle w:val="Heading2"/>
        <w:spacing w:after="80" w:before="200"/>
      </w:pPr>
      <w:r>
        <w:t xml:space="preserve">4.7 Despliegue y repositorio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Dockerfile por tool (docker/), railway.toml con healthcheck en /health, y un workflow de GitHub Actions con la plantilla de Carlos. Las pruebas son una compuerta: si fallan, no se despliega.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docs/deployments-ajtool.patch: el cambio exacto que Carlos debe aplicar en su deployments.json. Su validador lo aprueba.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Root Directory de Railway debe quedar vacío (antes apuntaba a la carpeta de cada tool); cada tool usa su propio proyecto de Railway y la variable RAILWAY_DOCKERFILE_PATH.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Todo lo anterior (bus-proxy, workspace, presentaciones, documentos viejos) está en archive/.</w:t>
      </w:r>
    </w:p>
    <w:p>
      <w:pPr>
        <w:pStyle w:val="Heading1"/>
        <w:spacing w:after="120" w:before="280"/>
      </w:pPr>
      <w:r>
        <w:t xml:space="preserve">5. Cómo se verificó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114 pruebas automáticas pasan (60 de Cpk/Ppk y 54 de MSA): cálculo, criterios, prioridad, contrato, poller, HTTP y persistencia. El guardado de criterios y su historial también se probaron contra un Postgres real, incluido un reinicio.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 levantó una copia del core real con su base de datos: su bus marcó las dos tools como delegadas, los eventos quedaron ligados a su causa y la siguiente tool de la cadena reaccionó al MSA_VALIDATED.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Los dos frontends compilan y se revisaron con capturas de pantalla.</w:t>
      </w:r>
    </w:p>
    <w:p>
      <w:pPr>
        <w:spacing w:after="120"/>
      </w:pPr>
      <w:r>
        <w:rPr>
          <w:b/>
          <w:bCs/>
        </w:rPr>
        <w:t xml:space="preserve">Lo que no se ha probado: </w:t>
      </w:r>
      <w:r>
        <w:rPr>
          <w:b w:val="false"/>
          <w:bCs w:val="false"/>
        </w:rPr>
        <w:t xml:space="preserve">el despliegue real en el Railway de Carlos, el login contra su proveedor de SSO (aún no tenemos sus datos) y el build con Docker real, que solo se simuló paso a paso.</w:t>
      </w:r>
    </w:p>
    <w:p>
      <w:pPr>
        <w:pStyle w:val="Heading1"/>
        <w:spacing w:after="120" w:before="280"/>
      </w:pPr>
      <w:r>
        <w:t xml:space="preserve">6. Pendiente con Carlos y Demian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Quién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key del core con events:read y events:write (ISOTOOLS_API_KEY)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de proyecto de Railway por tool y nombres reales de los servicios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 / Demian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Atar ccp.orcalabs.mx y rma.orcalabs.mx a cada servicio; Root Directory vacío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 / Demian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de SSO (issuer, client id y secret) y callbacks de producción y localhost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Aplicar docs/deployments-ajtool.patch y pasar CORE_PUBLISH a live en el mismo cambio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 + Angel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 PLATAFORMA-SSO.md, que las plantillas mencionan pero no existe</w:t>
            </w:r>
          </w:p>
        </w:tc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Carlos</w:t>
            </w:r>
          </w:p>
        </w:tc>
      </w:tr>
    </w:tbl>
    <w:p>
      <w:pPr>
        <w:pStyle w:val="Heading1"/>
        <w:spacing w:after="120" w:before="280"/>
      </w:pPr>
      <w:r>
        <w:t xml:space="preserve">7. Preguntas abiertas de dominio (para decidir juntos)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¿La especificación (USL/LSL) de Cpk seguirá viniendo solo de PRODUCT_SPEC_UPDATED, o collect_quality_measurements la incluirá en la medición?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MSA: ¿algún sistema enviará las lecturas desde el instrumento, o la captura seguirá siendo manual en la pantalla?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¿El criterio AIAG (%GRR &lt; 10 y ndc ≥ 5) es el que usa la planta?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¿Hay características con un Cpk mínimo distinto de 1.33, por ejemplo 1.67 en críticas?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¿Linealidad, sesgo y estabilidad entran en el alcance del 1 de noviembre? Hoy solo existe Gage R&amp;R y los demás tipos se rechazan con un mensaje claro.</w:t>
      </w:r>
    </w:p>
    <w:p>
      <w:pPr>
        <w:pStyle w:val="Heading1"/>
        <w:spacing w:after="120" w:before="280"/>
      </w:pPr>
      <w:r>
        <w:t xml:space="preserve">8. Dónde está cada cosa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Ruta en el repo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D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tools/calculate-cpk-ppk/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de Cpk/Ppk: src/, web/, test/, .env.example, README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tools/run-msa-analysis/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de MSA con la misma estructura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docker/, railway.toml, .github/workflows/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docs/DESPLIEGUE.md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Paso a paso en Railway, variables, tabla de síntomas y causas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docs/CONTRATO.md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Eventos que consume y produce cada tool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docs/REGISTRO-PLATAFORMA.md y deployments-ajtool.patch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 en el core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docs/PREGUNTAS-ABIERTAS.md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Preguntas para el equipo de plataforma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archive/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Versión anterior completa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D8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2026-10-06T22:59:20.766Z</dcterms:created>
  <dcterms:modified xsi:type="dcterms:W3CDTF">2026-10-06T22:59:20.766Z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