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PERSONAS · HERRAMIENTA 04 · TEORÍA</w:t>
      </w:r>
    </w:p>
    <w:p>
      <w:pPr>
        <w:spacing w:after="80"/>
      </w:pPr>
      <w:r>
        <w:rPr>
          <w:b/>
          <w:bCs/>
          <w:color w:val="05070A"/>
          <w:sz w:val="34"/>
          <w:szCs w:val="34"/>
        </w:rPr>
        <w:t xml:space="preserve">La matriz de decisiones</w:t>
      </w:r>
    </w:p>
    <w:p>
      <w:pPr>
        <w:spacing w:after="60" w:line="280"/>
      </w:pPr>
      <w:r>
        <w:rPr>
          <w:i/>
          <w:iCs/>
          <w:color w:val="6A767B"/>
          <w:sz w:val="20"/>
          <w:szCs w:val="20"/>
        </w:rPr>
        <w:t xml:space="preserve">Quién decide qué, y hasta dónde puede decidirlo cada uno. La pieza que acaba con el «pregunta al jefe» y libera al fundador del cuello de botella de las decisiones que otros podrían tomar.</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Poner por escrito, para las decisiones que de verdad frenan, quién decide, quién opina y hasta qué límite puede decidir cada persona sin escalar. Sabrás cuándo alguien puede firmar por su cuenta y cuándo tiene que subir la decisión — y por qué esa autoridad tiene que cuadrar con lo que le pides en su ficha.</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La matriz de decisiones es el mapa de quién decide qué en la empresa y con cuánta autonomía. Tiene dos capas que conviene no confundir. La primera es de reparto: para cada decisión importante, quién la toma, a quién hay que consultar antes y a quién hay que informar después. La segunda es de límites: hasta qué cuantía o nivel puede decidir una persona por su cuenta, y a partir de qué umbral tiene que escalar. Un director de operaciones puede aprobar una compra de material, sí — pero ¿hasta qué importe sin preguntar? Esa segunda pregunta es la que casi nadie tiene escrita, y es la que más fricción quita.</w:t>
      </w:r>
    </w:p>
    <w:p>
      <w:pPr>
        <w:spacing w:after="120" w:line="288"/>
      </w:pPr>
      <w:r>
        <w:rPr>
          <w:i w:val="false"/>
          <w:iCs w:val="false"/>
          <w:color w:val="3A4348"/>
          <w:sz w:val="20"/>
          <w:szCs w:val="20"/>
        </w:rPr>
        <w:t xml:space="preserve">La herramienta bebe de dos familias conocidas. De la matriz RACI toma la lógica de repartir papeles en cada decisión: quién es responsable de tomarla, quién rinde cuentas de ella, a quién se consulta y a quién se informa. Y de las matrices de delegación de autoridad —lo que en las empresas grandes se llama delegation of authority o matriz de aprobaciones— toma la idea de los umbrales: los límites de gasto o de decisión por nivel. DÍA UNO las junta porque, para una pyme, saber quién decide sin saber hasta cuánto es media respuesta.</w:t>
      </w:r>
    </w:p>
    <w:p>
      <w:pPr>
        <w:spacing w:after="120" w:line="288"/>
      </w:pPr>
      <w:r>
        <w:rPr>
          <w:i w:val="false"/>
          <w:iCs w:val="false"/>
          <w:color w:val="3A4348"/>
          <w:sz w:val="20"/>
          <w:szCs w:val="20"/>
        </w:rPr>
        <w:t xml:space="preserve">La razón por la que casi ninguna pyme la tiene es que las reglas de decisión se aprenden por ensayo y error, no se escriben. La gente descubre «hasta dónde puede llegar» probando: alguien decide algo, sale bien o le riñen, y así se va formando un mapa invisible y contradictorio que solo existe en la cabeza de cada uno. Ese mapa tácito funciona a pequeña escala y se vuelve un problema en cuanto la empresa crece: dos personas creen tener la misma autoridad y chocan, o nadie se atreve a decidir por miedo a pasarse. La matriz sustituye ese aprendizaje por prueba y error por un acuerdo explícito, y con ello ahorra a la empresa años de roces y de decisiones que llegan tarde.</w:t>
      </w:r>
    </w:p>
    <w:p>
      <w:pPr>
        <w:spacing w:after="120" w:line="288"/>
      </w:pPr>
      <w:r>
        <w:rPr>
          <w:b/>
          <w:bCs/>
          <w:color w:val="05070A"/>
          <w:sz w:val="20"/>
          <w:szCs w:val="20"/>
        </w:rPr>
        <w:t xml:space="preserve">Qué no es. </w:t>
      </w:r>
      <w:r>
        <w:rPr>
          <w:color w:val="3A4348"/>
          <w:sz w:val="20"/>
          <w:szCs w:val="20"/>
        </w:rPr>
        <w:t xml:space="preserve">No es un organigrama (ese dice quién manda sobre quién, no quién decide qué) ni una lista de tareas. Y no es un intento de escribir todas las decisiones de la empresa: eso es imposible y contraproducente. Es el registro de las pocas decisiones recurrentes que hoy generan cuello de botella o discusión, con su dueño y su límite.</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sobre todo, para sacar al fundador del centro de cada decisión. En la mayoría de las pymes, un porcentaje enorme de las decisiones pequeñas —una compra, un descuento a un cliente, una excepción a la norma— acaban en la mesa del dueño, no porque él quiera decidirlas, sino porque nunca se ha escrito que otro puede. El resultado es un cuello de botella agotador: la empresa avanza al ritmo al que el fundador contesta. La matriz rompe ese patrón poniendo por escrito, decisión a decisión, quién puede resolver sin preguntar y hasta dónde.</w:t>
      </w:r>
    </w:p>
    <w:p>
      <w:pPr>
        <w:spacing w:after="120" w:line="288"/>
      </w:pPr>
      <w:r>
        <w:rPr>
          <w:i w:val="false"/>
          <w:iCs w:val="false"/>
          <w:color w:val="3A4348"/>
          <w:sz w:val="20"/>
          <w:szCs w:val="20"/>
        </w:rPr>
        <w:t xml:space="preserve">Sirve también para acabar con dos costes silenciosos. El primero, el «pregunta al jefe» permanente, que ralentiza todo y desresponsabiliza al equipo. El segundo, el opuesto y más peligroso: la persona que decide por encima de su nivel sin que nadie lo sepa, hasta que un día aprueba algo que no debía. La matriz previene los dos: da permiso explícito para decidir dentro de un límite, y marca con claridad dónde ese permiso se acaba.</w:t>
      </w:r>
    </w:p>
    <w:p>
      <w:pPr>
        <w:spacing w:after="120" w:line="288"/>
      </w:pPr>
      <w:r>
        <w:rPr>
          <w:i w:val="false"/>
          <w:iCs w:val="false"/>
          <w:color w:val="3A4348"/>
          <w:sz w:val="20"/>
          <w:szCs w:val="20"/>
        </w:rPr>
        <w:t xml:space="preserve">Y hay un beneficio que se nota con el tiempo: la matriz es el primer paso para profesionalizar cómo decide la empresa. Cada vez que se escribe quién decide qué y hasta dónde, la organización acumula un pequeño historial —un track record— de sus propias reglas de decisión. Ese registro, que al principio son cuatro líneas, se va convirtiendo en la memoria de cómo se gobierna la empresa: qué se delegó, a quién, con qué resultado. Es la diferencia entre una empresa que decide por costumbre y una que decide por sistema.</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Capa 1 · Quién interviene en cada decisión (estilo RACI)</w:t>
      </w:r>
    </w:p>
    <w:p>
      <w:pPr>
        <w:spacing w:after="120" w:line="288"/>
      </w:pPr>
      <w:r>
        <w:rPr>
          <w:i w:val="false"/>
          <w:iCs w:val="false"/>
          <w:color w:val="3A4348"/>
          <w:sz w:val="20"/>
          <w:szCs w:val="20"/>
        </w:rPr>
        <w:t xml:space="preserve">Para cada decisión recurrente que importe, se reparten cuatro papeles. Quién decide: la persona que toma la decisión y responde de ella (una sola, no un comité difuso). Quién ejecuta o propone: quien prepara y lleva la decisión adelante. A quién se consulta: las personas cuyo criterio hay que oír antes de decidir. Y a quién se informa: quienes tienen que enterarse después, aunque no participen. Es la lógica de RACI —responsable, quien rinde cuentas, consultado, informado— y la de modelos más finos como RAPID, pensados específicamente para decisiones. Lo esencial es que haya un único dueño por decisión: cuando «decidimos entre todos», en la práctica no decide nadie y la responsabilidad se diluye.</w:t>
      </w:r>
    </w:p>
    <w:p>
      <w:pPr>
        <w:spacing w:after="120" w:line="288"/>
      </w:pPr>
      <w:r>
        <w:rPr>
          <w:i w:val="false"/>
          <w:iCs w:val="false"/>
          <w:color w:val="3A4348"/>
          <w:sz w:val="20"/>
          <w:szCs w:val="20"/>
        </w:rPr>
        <w:t xml:space="preserve">Existen varios modelos para esta capa y no hay que casarse con uno. El RACI es el más extendido y el más fácil de entender, y para una pyme suele ser suficiente. El RAPID, de la consultora Bain, está pensado específicamente para decisiones —distingue quién recomienda, quién debe estar de acuerdo, quién ejecuta, quién aporta input y quién decide— y es útil cuando una decisión importante se atasca porque no está claro de quién es la última palabra. El DACI es una variante intermedia. La recomendación para DÍA UNO es empezar por lo simple —quién decide, quién opina, quién se entera— y solo subir a un modelo más fino en las pocas decisiones grandes y conflictivas donde de verdad haga falta. El modelo es un medio; la claridad es el fin.</w:t>
      </w:r>
    </w:p>
    <w:p>
      <w:pPr>
        <w:spacing w:after="55" w:before="170"/>
      </w:pPr>
      <w:r>
        <w:rPr>
          <w:b/>
          <w:bCs/>
          <w:color w:val="05070A"/>
          <w:sz w:val="18"/>
          <w:szCs w:val="18"/>
        </w:rPr>
        <w:t xml:space="preserve">Capa 2 · Hasta dónde puede decidir cada uno (los límites)</w:t>
      </w:r>
    </w:p>
    <w:p>
      <w:pPr>
        <w:spacing w:after="120" w:line="288"/>
      </w:pPr>
      <w:r>
        <w:rPr>
          <w:i w:val="false"/>
          <w:iCs w:val="false"/>
          <w:color w:val="3A4348"/>
          <w:sz w:val="20"/>
          <w:szCs w:val="20"/>
        </w:rPr>
        <w:t xml:space="preserve">Aquí está lo que la mayoría de las matrices olvidan y que Dave considera el corazón de esta herramienta: la autoridad no es un sí/no, es un cuánto. No basta con decir «operaciones aprueba compras»; hay que decir «operaciones aprueba compras hasta X euros; por encima, escala a dirección». Esos umbrales —de gasto, de descuento, de excepción— son los que convierten la matriz en una herramienta operativa de verdad. Sin ellos, «puede aprobar compras» es tan ambiguo que la gente vuelve a preguntar por si acaso, y el cuello de botella regresa.</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Los límites viven también en las SOPs. </w:t>
            </w:r>
            <w:r>
              <w:rPr>
                <w:color w:val="3A4348"/>
                <w:sz w:val="19"/>
                <w:szCs w:val="19"/>
              </w:rPr>
              <w:t xml:space="preserve">Estos umbrales no solo se apuntan en la matriz: tienen que estar escritos en la SOP (07) del proceso que regulan. Si hay un procedimiento de compras, las cuantías que cada uno puede aprobar viven dentro de esa SOP, donde la persona las va a leer cuando ejecuta. La matriz es la vista de conjunto —quién decide qué en toda la empresa—; la SOP es donde ese límite se aplica en el momento. Las dos tienen que decir lo mismo, y por eso esta herramienta está a caballo entre Personas y Procesos.</w:t>
            </w:r>
          </w:p>
        </w:tc>
      </w:tr>
    </w:tbl>
    <w:p>
      <w:pPr>
        <w:spacing w:after="120" w:line="288"/>
      </w:pPr>
      <w:r>
        <w:rPr>
          <w:i w:val="false"/>
          <w:iCs w:val="false"/>
          <w:color w:val="3A4348"/>
          <w:sz w:val="20"/>
          <w:szCs w:val="20"/>
        </w:rPr>
        <w:t xml:space="preserve">Estas decisiones no aparecen de la nada: muchas viven dentro de los procesos. Cuando en el mapa de procesos (06) se dibuja el flujo de un negocio, aparecen puertas de decisión —puntos donde el proceso se detiene hasta que alguien decide algo—: aprobar un presupuesto, aceptar un pedido especial, autorizar una excepción. Cada una de esas puertas es una entrada natural para la matriz. De hecho, una buena forma de descubrir qué decisiones merecen estar en la matriz es recorrer los procesos y anotar dónde el flujo se para esperando una decisión: ahí, casi siempre, hay un cuello de botella que un dueño y un umbral claros resolverían. Por eso esta herramienta se cose con Procesos tanto como con Personas.</w:t>
      </w:r>
    </w:p>
    <w:p>
      <w:pPr>
        <w:spacing w:after="55" w:before="170"/>
      </w:pPr>
      <w:r>
        <w:rPr>
          <w:b/>
          <w:bCs/>
          <w:color w:val="05070A"/>
          <w:sz w:val="18"/>
          <w:szCs w:val="18"/>
        </w:rPr>
        <w:t xml:space="preserve">La coherencia con la ficha de puesto</w:t>
      </w:r>
    </w:p>
    <w:p>
      <w:pPr>
        <w:spacing w:after="120" w:line="288"/>
      </w:pPr>
      <w:r>
        <w:rPr>
          <w:i w:val="false"/>
          <w:iCs w:val="false"/>
          <w:color w:val="3A4348"/>
          <w:sz w:val="20"/>
          <w:szCs w:val="20"/>
        </w:rPr>
        <w:t xml:space="preserve">Hay una tercera conexión, y es la que la ata al pilar de Personas. La autoridad que la matriz otorga a un puesto tiene que ser coherente con lo que su ficha (03) le pide. Si a una persona le exiges en su ficha que responda de un número —por ejemplo, del margen de sus ventas— pero no le das autoridad para decidir los descuentos que mueven ese margen, le has puesto una trampa: responde de algo que no puede controlar. La matriz y la ficha son dos caras de lo mismo: la ficha dice de qué respondes; la matriz, qué puedes decidir para conseguirlo. Cuando no cuadran, hay un desequilibrio que corregir, y verlo escrito es lo que permite detectarlo.</w:t>
      </w:r>
    </w:p>
    <w:p>
      <w:pPr>
        <w:spacing w:after="55" w:before="170"/>
      </w:pPr>
      <w:r>
        <w:rPr>
          <w:b/>
          <w:bCs/>
          <w:color w:val="05070A"/>
          <w:sz w:val="18"/>
          <w:szCs w:val="18"/>
        </w:rPr>
        <w:t xml:space="preserve">No se llena de golpe: se acumula</w:t>
      </w:r>
    </w:p>
    <w:p>
      <w:pPr>
        <w:spacing w:after="120" w:line="288"/>
      </w:pPr>
      <w:r>
        <w:rPr>
          <w:i w:val="false"/>
          <w:iCs w:val="false"/>
          <w:color w:val="3A4348"/>
          <w:sz w:val="20"/>
          <w:szCs w:val="20"/>
        </w:rPr>
        <w:t xml:space="preserve">Un error garrafal sería sentarse a volcar todas las decisiones de la empresa en una tabla gigante. No funciona: es un trabajo infinito, envejece en semanas y nadie lo usa. La matriz se construye al revés, por acumulación. Se empieza por las pocas decisiones grandes que hoy generan cuello de botella o discusión —las que todo el mundo reconoce— y se escriben esas. Luego, cada vez que aparece una decisión nueva sobre quién decide qué y con qué límite, se anota. Así la matriz crece con la empresa, refleja decisiones reales y no un ejercicio teórico, y siempre contiene solo lo que de verdad hace falta. Es un registro vivo, no un formulario que se rellena una vez.</w:t>
      </w:r>
    </w:p>
    <w:p>
      <w:pPr>
        <w:spacing w:after="55" w:before="170"/>
      </w:pPr>
      <w:r>
        <w:rPr>
          <w:b/>
          <w:bCs/>
          <w:color w:val="05070A"/>
          <w:sz w:val="18"/>
          <w:szCs w:val="18"/>
        </w:rPr>
        <w:t xml:space="preserve">Un ejemplo para verlo</w:t>
      </w:r>
    </w:p>
    <w:p>
      <w:pPr>
        <w:spacing w:after="120" w:line="288"/>
      </w:pPr>
      <w:r>
        <w:rPr>
          <w:i w:val="false"/>
          <w:iCs w:val="false"/>
          <w:color w:val="3A4348"/>
          <w:sz w:val="20"/>
          <w:szCs w:val="20"/>
        </w:rPr>
        <w:t xml:space="preserve">En una empresa de servicios, tres decisiones típicas para arrancar la matriz: los descuentos a clientes (decide el responsable comercial hasta un 10%; por encima, dirección; se informa a administración), las compras de material (decide operaciones hasta cierto importe; por encima, dirección; se consulta a finanzas si afecta a caja), y las excepciones a la política de devoluciones (decide atención al cliente dentro de unos supuestos; los casos fuera de esos supuestos escalan). Con solo esas tres escritas, con su dueño y su umbral, buena parte del «pregunta al jefe» diario desaparece — y las tres viven además dentro de sus SOPs respectivas.</w:t>
      </w:r>
    </w:p>
    <w:p>
      <w:pPr>
        <w:spacing w:after="120" w:line="288"/>
      </w:pPr>
      <w:r>
        <w:rPr>
          <w:i w:val="false"/>
          <w:iCs w:val="false"/>
          <w:color w:val="3A4348"/>
          <w:sz w:val="20"/>
          <w:szCs w:val="20"/>
        </w:rPr>
        <w:t xml:space="preserve">Conviene entender que el umbral no siempre es una cifra en euros. Hay varios tipos, y saber cuál aplica ayuda a escribir la matriz:</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600"/>
        <w:gridCol w:w="6426"/>
      </w:tblGrid>
      <w:tr>
        <w:trPr>
          <w:tblHeader/>
        </w:trPr>
        <w:tc>
          <w:tcPr>
            <w:tcW w:type="dxa" w:w="2600"/>
            <w:shd w:fill="0C6F7F" w:color="auto" w:val="clear"/>
            <w:tcMar>
              <w:top w:type="dxa" w:w="90"/>
              <w:left w:type="dxa" w:w="130"/>
              <w:bottom w:type="dxa" w:w="90"/>
              <w:right w:type="dxa" w:w="130"/>
            </w:tcMar>
          </w:tcPr>
          <w:p>
            <w:r>
              <w:rPr>
                <w:b/>
                <w:bCs/>
                <w:color w:val="FFFFFF"/>
                <w:sz w:val="16"/>
                <w:szCs w:val="16"/>
              </w:rPr>
              <w:t xml:space="preserve">Tipo de límite</w:t>
            </w:r>
          </w:p>
        </w:tc>
        <w:tc>
          <w:tcPr>
            <w:tcW w:type="dxa" w:w="6426"/>
            <w:shd w:fill="0C6F7F" w:color="auto" w:val="clear"/>
            <w:tcMar>
              <w:top w:type="dxa" w:w="90"/>
              <w:left w:type="dxa" w:w="130"/>
              <w:bottom w:type="dxa" w:w="90"/>
              <w:right w:type="dxa" w:w="130"/>
            </w:tcMar>
          </w:tcPr>
          <w:p>
            <w:r>
              <w:rPr>
                <w:b/>
                <w:bCs/>
                <w:color w:val="FFFFFF"/>
                <w:sz w:val="16"/>
                <w:szCs w:val="16"/>
              </w:rPr>
              <w:t xml:space="preserve">Ejemplo</w:t>
            </w:r>
          </w:p>
        </w:tc>
      </w:tr>
      <w:tr>
        <w:tc>
          <w:tcPr>
            <w:tcW w:type="dxa" w:w="2600"/>
            <w:tcMar>
              <w:top w:type="dxa" w:w="90"/>
              <w:left w:type="dxa" w:w="130"/>
              <w:bottom w:type="dxa" w:w="90"/>
              <w:right w:type="dxa" w:w="130"/>
            </w:tcMar>
          </w:tcPr>
          <w:p>
            <w:pPr>
              <w:spacing w:line="264"/>
            </w:pPr>
            <w:r>
              <w:rPr>
                <w:b/>
                <w:bCs/>
                <w:color w:val="05070A"/>
                <w:sz w:val="16"/>
                <w:szCs w:val="16"/>
              </w:rPr>
              <w:t xml:space="preserve">De cuantía</w:t>
            </w:r>
          </w:p>
        </w:tc>
        <w:tc>
          <w:tcPr>
            <w:tcW w:type="dxa" w:w="6426"/>
            <w:tcMar>
              <w:top w:type="dxa" w:w="90"/>
              <w:left w:type="dxa" w:w="130"/>
              <w:bottom w:type="dxa" w:w="90"/>
              <w:right w:type="dxa" w:w="130"/>
            </w:tcMar>
          </w:tcPr>
          <w:p>
            <w:pPr>
              <w:spacing w:line="264"/>
            </w:pPr>
            <w:r>
              <w:rPr>
                <w:b w:val="false"/>
                <w:bCs w:val="false"/>
                <w:color w:val="3A4348"/>
                <w:sz w:val="16"/>
                <w:szCs w:val="16"/>
              </w:rPr>
              <w:t xml:space="preserve">Aprobar gastos o compras hasta un importe; por encima, escala.</w:t>
            </w:r>
          </w:p>
        </w:tc>
      </w:tr>
      <w:tr>
        <w:tc>
          <w:tcPr>
            <w:tcW w:type="dxa" w:w="2600"/>
            <w:tcMar>
              <w:top w:type="dxa" w:w="90"/>
              <w:left w:type="dxa" w:w="130"/>
              <w:bottom w:type="dxa" w:w="90"/>
              <w:right w:type="dxa" w:w="130"/>
            </w:tcMar>
          </w:tcPr>
          <w:p>
            <w:pPr>
              <w:spacing w:line="264"/>
            </w:pPr>
            <w:r>
              <w:rPr>
                <w:b/>
                <w:bCs/>
                <w:color w:val="05070A"/>
                <w:sz w:val="16"/>
                <w:szCs w:val="16"/>
              </w:rPr>
              <w:t xml:space="preserve">De porcentaje</w:t>
            </w:r>
          </w:p>
        </w:tc>
        <w:tc>
          <w:tcPr>
            <w:tcW w:type="dxa" w:w="6426"/>
            <w:tcMar>
              <w:top w:type="dxa" w:w="90"/>
              <w:left w:type="dxa" w:w="130"/>
              <w:bottom w:type="dxa" w:w="90"/>
              <w:right w:type="dxa" w:w="130"/>
            </w:tcMar>
          </w:tcPr>
          <w:p>
            <w:pPr>
              <w:spacing w:line="264"/>
            </w:pPr>
            <w:r>
              <w:rPr>
                <w:b w:val="false"/>
                <w:bCs w:val="false"/>
                <w:color w:val="3A4348"/>
                <w:sz w:val="16"/>
                <w:szCs w:val="16"/>
              </w:rPr>
              <w:t xml:space="preserve">Conceder descuentos hasta un % del precio; más allá, escala.</w:t>
            </w:r>
          </w:p>
        </w:tc>
      </w:tr>
      <w:tr>
        <w:tc>
          <w:tcPr>
            <w:tcW w:type="dxa" w:w="2600"/>
            <w:tcMar>
              <w:top w:type="dxa" w:w="90"/>
              <w:left w:type="dxa" w:w="130"/>
              <w:bottom w:type="dxa" w:w="90"/>
              <w:right w:type="dxa" w:w="130"/>
            </w:tcMar>
          </w:tcPr>
          <w:p>
            <w:pPr>
              <w:spacing w:line="264"/>
            </w:pPr>
            <w:r>
              <w:rPr>
                <w:b/>
                <w:bCs/>
                <w:color w:val="05070A"/>
                <w:sz w:val="16"/>
                <w:szCs w:val="16"/>
              </w:rPr>
              <w:t xml:space="preserve">De excepción</w:t>
            </w:r>
          </w:p>
        </w:tc>
        <w:tc>
          <w:tcPr>
            <w:tcW w:type="dxa" w:w="6426"/>
            <w:tcMar>
              <w:top w:type="dxa" w:w="90"/>
              <w:left w:type="dxa" w:w="130"/>
              <w:bottom w:type="dxa" w:w="90"/>
              <w:right w:type="dxa" w:w="130"/>
            </w:tcMar>
          </w:tcPr>
          <w:p>
            <w:pPr>
              <w:spacing w:line="264"/>
            </w:pPr>
            <w:r>
              <w:rPr>
                <w:b w:val="false"/>
                <w:bCs w:val="false"/>
                <w:color w:val="3A4348"/>
                <w:sz w:val="16"/>
                <w:szCs w:val="16"/>
              </w:rPr>
              <w:t xml:space="preserve">Salirse de la política estándar solo en supuestos definidos; el resto, escala.</w:t>
            </w:r>
          </w:p>
        </w:tc>
      </w:tr>
      <w:tr>
        <w:tc>
          <w:tcPr>
            <w:tcW w:type="dxa" w:w="2600"/>
            <w:tcMar>
              <w:top w:type="dxa" w:w="90"/>
              <w:left w:type="dxa" w:w="130"/>
              <w:bottom w:type="dxa" w:w="90"/>
              <w:right w:type="dxa" w:w="130"/>
            </w:tcMar>
          </w:tcPr>
          <w:p>
            <w:pPr>
              <w:spacing w:line="264"/>
            </w:pPr>
            <w:r>
              <w:rPr>
                <w:b/>
                <w:bCs/>
                <w:color w:val="05070A"/>
                <w:sz w:val="16"/>
                <w:szCs w:val="16"/>
              </w:rPr>
              <w:t xml:space="preserve">De alcance</w:t>
            </w:r>
          </w:p>
        </w:tc>
        <w:tc>
          <w:tcPr>
            <w:tcW w:type="dxa" w:w="6426"/>
            <w:tcMar>
              <w:top w:type="dxa" w:w="90"/>
              <w:left w:type="dxa" w:w="130"/>
              <w:bottom w:type="dxa" w:w="90"/>
              <w:right w:type="dxa" w:w="130"/>
            </w:tcMar>
          </w:tcPr>
          <w:p>
            <w:pPr>
              <w:spacing w:line="264"/>
            </w:pPr>
            <w:r>
              <w:rPr>
                <w:b w:val="false"/>
                <w:bCs w:val="false"/>
                <w:color w:val="3A4348"/>
                <w:sz w:val="16"/>
                <w:szCs w:val="16"/>
              </w:rPr>
              <w:t xml:space="preserve">Decidir dentro del propio departamento; si afecta a otros, se consulta o escala.</w:t>
            </w:r>
          </w:p>
        </w:tc>
      </w:tr>
      <w:tr>
        <w:tc>
          <w:tcPr>
            <w:tcW w:type="dxa" w:w="2600"/>
            <w:tcMar>
              <w:top w:type="dxa" w:w="90"/>
              <w:left w:type="dxa" w:w="130"/>
              <w:bottom w:type="dxa" w:w="90"/>
              <w:right w:type="dxa" w:w="130"/>
            </w:tcMar>
          </w:tcPr>
          <w:p>
            <w:pPr>
              <w:spacing w:line="264"/>
            </w:pPr>
            <w:r>
              <w:rPr>
                <w:b/>
                <w:bCs/>
                <w:color w:val="05070A"/>
                <w:sz w:val="16"/>
                <w:szCs w:val="16"/>
              </w:rPr>
              <w:t xml:space="preserve">De reversibilidad</w:t>
            </w:r>
          </w:p>
        </w:tc>
        <w:tc>
          <w:tcPr>
            <w:tcW w:type="dxa" w:w="6426"/>
            <w:tcMar>
              <w:top w:type="dxa" w:w="90"/>
              <w:left w:type="dxa" w:w="130"/>
              <w:bottom w:type="dxa" w:w="90"/>
              <w:right w:type="dxa" w:w="130"/>
            </w:tcMar>
          </w:tcPr>
          <w:p>
            <w:pPr>
              <w:spacing w:line="264"/>
            </w:pPr>
            <w:r>
              <w:rPr>
                <w:b w:val="false"/>
                <w:bCs w:val="false"/>
                <w:color w:val="3A4348"/>
                <w:sz w:val="16"/>
                <w:szCs w:val="16"/>
              </w:rPr>
              <w:t xml:space="preserve">Decidir solo lo reversible por cuenta propia; lo irreversible o de alto impacto, escala.</w:t>
            </w:r>
          </w:p>
        </w:tc>
      </w:tr>
    </w:tbl>
    <w:p>
      <w:pPr>
        <w:spacing w:after="120" w:line="288"/>
      </w:pPr>
      <w:r>
        <w:rPr>
          <w:i w:val="false"/>
          <w:iCs w:val="false"/>
          <w:color w:val="3A4348"/>
          <w:sz w:val="20"/>
          <w:szCs w:val="20"/>
        </w:rPr>
        <w:t xml:space="preserve">Ese último tipo —la reversibilidad— es un criterio especialmente útil para la pyme: como regla general, cuanto más difícil es deshacer una decisión, más arriba debe tomarse. Da permiso amplio para lo que se puede corregir y reserva la cautela para lo que no tiene vuelta atrás, que es justo donde la empresa se juega algo.</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el equipo decide dentro de sus límites sin preguntar, el fundador deja de ser el embudo de las decisiones menores, y las decisiones se toman más rápido y por quien está más cerca del problema. La empresa empieza a profesionalizar cómo decide.</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o todo sube al jefe (cuello de botella y equipo desresponsabilizado), o cada uno decide por su cuenta sin límites claros (riesgo de decisiones por encima del nivel de quien las toma). Una matriz que intenta abarcarlo todo, además, no la usa nadie.</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la matriz de decisiones</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reparto; casi todo se decide preguntando al dueño.</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Se intuye quién decide qué, pero no hay límites escritos; ante la duda, se escala.</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 reparto escrito, pero sin umbrales claros o desconectado de las SOPs y las fichas.</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Las decisiones clave tienen dueño y límite, coherentes con las fichas y las SOPs, y el equipo decide dentro de ellos.</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Tan estructurada (decisión, dueño, umbral) que un agente puede enrutar cada decisión a quien la toca y avisar cuando algo debe escalar.</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 las decisiones reales que hoy frenan a la empresa (se leen del día a día y del mapa de procesos 06, donde aparecen las puertas de decisión), y de las fichas de puesto (03), con las que la autoridad tiene que cuadrar.</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las SOPs (07), donde los umbrales se aplican; a las fichas de puesto (03), a las que da (o quita) coherencia en la capa de autoridad; y al funcionamiento diario, al enrutar cada decisión a quien la puede tomar.</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Esta herramienta se vende sola si se enmarca bien, porque a casi todo el mundo le gusta que le den permiso para decidir. La clave es presentarla como una ampliación de la autonomía, no como un control: «a partir de ahora puedes resolver esto hasta aquí sin preguntar» es un mensaje que el equipo recibe con alivio. El riesgo está en el otro lado: alguien puede leer sus límites como una desconfianza («¿por qué yo solo hasta X?»). Se previene explicando que los umbrales protegen a la persona tanto como a la empresa —decidir por encima de tu nivel es exponerte—, y que se revisan: a medida que alguien demuestra criterio, su límite sube. Una matriz que nunca amplía los límites de nadie acaba leyéndose como un techo; una que los amplía con el tiempo, como una carrera.</w:t>
      </w:r>
    </w:p>
    <w:p>
      <w:pPr>
        <w:spacing w:after="120" w:line="288"/>
      </w:pPr>
      <w:r>
        <w:rPr>
          <w:i w:val="false"/>
          <w:iCs w:val="false"/>
          <w:color w:val="3A4348"/>
          <w:sz w:val="20"/>
          <w:szCs w:val="20"/>
        </w:rPr>
        <w:t xml:space="preserve">Hay también una resistencia previsible por parte de quien hasta ahora decidía todo: soltar decisiones cuesta, aunque uno se queje del cuello de botella que le suponen. Al fundador que teme perder el control conviene recordarle que delegar dentro de un límite escrito no es perder el control, es cambiarlo de sitio: en vez de aprobar cada compra, aprueba la regla que gobierna las compras. Ese cambio —de decidir casos a decidir reglas— es exactamente lo que le devuelve el tiempo y lo que hace que la empresa deje de esperarle. Y como la matriz es un registro vivo, no es una cesión irreversible: si un límite resulta demasiado amplio, se ajusta. Empezar con umbrales prudentes y ampliarlos con la confianza es una forma sensata y tranquila de soltar.</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Lista las pocas decisiones que hoy frenan. </w:t>
      </w:r>
      <w:r>
        <w:rPr>
          <w:color w:val="3A4348"/>
          <w:sz w:val="20"/>
          <w:szCs w:val="20"/>
        </w:rPr>
        <w:t xml:space="preserve">No busques exhaustividad: busca las que generan cuello de botella o discusión (compras, descuentos, excepciones, contrataciones menores…). Empieza por tres a cinco.</w:t>
      </w:r>
    </w:p>
    <w:p>
      <w:pPr>
        <w:pStyle w:val="ListParagraph"/>
        <w:numPr>
          <w:ilvl w:val="0"/>
          <w:numId w:val="3"/>
        </w:numPr>
        <w:spacing w:after="92" w:line="282"/>
      </w:pPr>
      <w:r>
        <w:rPr>
          <w:b/>
          <w:bCs/>
          <w:color w:val="05070A"/>
          <w:sz w:val="20"/>
          <w:szCs w:val="20"/>
        </w:rPr>
        <w:t xml:space="preserve">Reparte los papeles. </w:t>
      </w:r>
      <w:r>
        <w:rPr>
          <w:color w:val="3A4348"/>
          <w:sz w:val="20"/>
          <w:szCs w:val="20"/>
        </w:rPr>
        <w:t xml:space="preserve">Para cada una: quién decide (uno solo), quién propone/ejecuta, a quién se consulta, a quién se informa.</w:t>
      </w:r>
    </w:p>
    <w:p>
      <w:pPr>
        <w:pStyle w:val="ListParagraph"/>
        <w:numPr>
          <w:ilvl w:val="0"/>
          <w:numId w:val="3"/>
        </w:numPr>
        <w:spacing w:after="92" w:line="282"/>
      </w:pPr>
      <w:r>
        <w:rPr>
          <w:b/>
          <w:bCs/>
          <w:color w:val="05070A"/>
          <w:sz w:val="20"/>
          <w:szCs w:val="20"/>
        </w:rPr>
        <w:t xml:space="preserve">Pon el límite. </w:t>
      </w:r>
      <w:r>
        <w:rPr>
          <w:color w:val="3A4348"/>
          <w:sz w:val="20"/>
          <w:szCs w:val="20"/>
        </w:rPr>
        <w:t xml:space="preserve">Hasta qué cuantía o nivel decide sin escalar, y a partir de dónde escala y a quién. Este es el campo que no puede faltar.</w:t>
      </w:r>
    </w:p>
    <w:p>
      <w:pPr>
        <w:pStyle w:val="ListParagraph"/>
        <w:numPr>
          <w:ilvl w:val="0"/>
          <w:numId w:val="3"/>
        </w:numPr>
        <w:spacing w:after="92" w:line="282"/>
      </w:pPr>
      <w:r>
        <w:rPr>
          <w:b/>
          <w:bCs/>
          <w:color w:val="05070A"/>
          <w:sz w:val="20"/>
          <w:szCs w:val="20"/>
        </w:rPr>
        <w:t xml:space="preserve">Cuádralo con la ficha y con la SOP. </w:t>
      </w:r>
      <w:r>
        <w:rPr>
          <w:color w:val="3A4348"/>
          <w:sz w:val="20"/>
          <w:szCs w:val="20"/>
        </w:rPr>
        <w:t xml:space="preserve">Comprueba que la autoridad concuerda con lo que la ficha (03) le pide a ese puesto, y anota el umbral también en la SOP (07) del proceso correspondiente.</w:t>
      </w:r>
    </w:p>
    <w:p>
      <w:pPr>
        <w:pStyle w:val="ListParagraph"/>
        <w:numPr>
          <w:ilvl w:val="0"/>
          <w:numId w:val="3"/>
        </w:numPr>
        <w:spacing w:after="92" w:line="282"/>
      </w:pPr>
      <w:r>
        <w:rPr>
          <w:b/>
          <w:bCs/>
          <w:color w:val="05070A"/>
          <w:sz w:val="20"/>
          <w:szCs w:val="20"/>
        </w:rPr>
        <w:t xml:space="preserve">Déjala viva. </w:t>
      </w:r>
      <w:r>
        <w:rPr>
          <w:color w:val="3A4348"/>
          <w:sz w:val="20"/>
          <w:szCs w:val="20"/>
        </w:rPr>
        <w:t xml:space="preserve">No la cierres. Cada nueva decisión sobre quién decide qué se añade cuando surge. La matriz crece con la empresa.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sesión. </w:t>
            </w:r>
            <w:r>
              <w:rPr>
                <w:color w:val="3A4348"/>
                <w:sz w:val="19"/>
                <w:szCs w:val="19"/>
              </w:rPr>
              <w:t xml:space="preserve">No hace falta una jornada: basta una hora para arrancar con las tres a cinco decisiones que todos reconocen como cuello de botella. Se cierra cuando cada una tiene dueño único, umbral y coherencia con su ficha y su SOP. Lo demás se irá acumulando solo.</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Con las decisiones, sus dueños y sus umbrales bien estructurados, un agente puede enrutar: cuando llega una compra, un descuento o una excepción, sabe quién puede aprobarla y hasta qué límite, la dirige a la persona correcta y escala automáticamente lo que supera el umbral. También puede vigilar la coherencia —avisar cuando una ficha pide responder de algo cuya autoridad la matriz no concede— y mantener el registro al día. La decisión de fondo sobre quién debe poder decidir qué es humana; el agente aplica el mapa y hace que ninguna decisión se quede esperando en la mesa equivocada.</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Las pocas decisiones que frenan, con dueño único. </w:t>
      </w:r>
      <w:r>
        <w:rPr>
          <w:color w:val="3A4348"/>
          <w:sz w:val="20"/>
          <w:szCs w:val="20"/>
        </w:rPr>
        <w:t xml:space="preserve">No todas: las que hoy son cuello de botella.</w:t>
      </w:r>
    </w:p>
    <w:p>
      <w:pPr>
        <w:pStyle w:val="ListParagraph"/>
        <w:numPr>
          <w:ilvl w:val="0"/>
          <w:numId w:val="2"/>
        </w:numPr>
        <w:spacing w:after="72" w:line="282"/>
      </w:pPr>
      <w:r>
        <w:rPr>
          <w:b/>
          <w:bCs/>
          <w:color w:val="05070A"/>
          <w:sz w:val="20"/>
          <w:szCs w:val="20"/>
        </w:rPr>
        <w:t xml:space="preserve">Un límite por decisión. </w:t>
      </w:r>
      <w:r>
        <w:rPr>
          <w:color w:val="3A4348"/>
          <w:sz w:val="20"/>
          <w:szCs w:val="20"/>
        </w:rPr>
        <w:t xml:space="preserve">Hasta dónde se decide sin escalar, y a partir de dónde se escala.</w:t>
      </w:r>
    </w:p>
    <w:p>
      <w:pPr>
        <w:pStyle w:val="ListParagraph"/>
        <w:numPr>
          <w:ilvl w:val="0"/>
          <w:numId w:val="2"/>
        </w:numPr>
        <w:spacing w:after="72" w:line="282"/>
      </w:pPr>
      <w:r>
        <w:rPr>
          <w:b/>
          <w:bCs/>
          <w:color w:val="05070A"/>
          <w:sz w:val="20"/>
          <w:szCs w:val="20"/>
        </w:rPr>
        <w:t xml:space="preserve">Coherencia con la ficha y con la SOP. </w:t>
      </w:r>
      <w:r>
        <w:rPr>
          <w:color w:val="3A4348"/>
          <w:sz w:val="20"/>
          <w:szCs w:val="20"/>
        </w:rPr>
        <w:t xml:space="preserve">La autoridad cuadra con lo que se le pide al puesto y con lo que dice el procedimiento.</w:t>
      </w:r>
    </w:p>
    <w:p>
      <w:pPr>
        <w:spacing w:after="120" w:line="288"/>
      </w:pPr>
      <w:r>
        <w:rPr>
          <w:i w:val="false"/>
          <w:iCs w:val="false"/>
          <w:color w:val="3A4348"/>
          <w:sz w:val="20"/>
          <w:szCs w:val="20"/>
        </w:rPr>
        <w:t xml:space="preserve">Todo lo demás —el modelo fino de reparto, los tipos de umbral, el enrutado por agente— es la versión avanzada; pero el mínimo que hace útil una matriz es que las pocas decisiones que hoy frenan de verdad a la empresa tengan un dueño único, un límite claro y coherencia con la ficha y con la SOP.</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La matriz de decisiones es, de todo el pilar de Personas, la herramienta más secundaria: no toda empresa la necesita desde el principio, y su valor depende mucho del caso. Toma peso justo cuando el fundador se ha convertido en el cuello de botella de las decisiones menores —el síntoma de «todo pasa por mí»— y cuando la empresa crece y empieza a haber gente decidiendo sin un criterio común de hasta dónde. En una empresa muy pequeña, donde el dueño está en todo sin fricción, puede esperar. Pero en cuanto la delegación se vuelve necesaria, es la herramienta que la hace posible sin caos — y cuanto antes se empieza a acumular el registro de quién decide qué, antes se profesionaliza la forma de decidir de toda la empresa.</w:t>
      </w:r>
    </w:p>
    <w:p>
      <w:pPr>
        <w:pBdr>
          <w:top w:val="single" w:color="D5DCDD" w:sz="6" w:space="6"/>
        </w:pBdr>
        <w:spacing w:before="280"/>
      </w:pPr>
      <w:r>
        <w:rPr>
          <w:color w:val="6A767B"/>
          <w:sz w:val="14"/>
          <w:szCs w:val="14"/>
        </w:rPr>
        <w:t xml:space="preserve">DÍA UNO · Personas · 04 · La matriz de decisiones · Teoría V2 · Fuentes: RACI (reparto de papeles); RAPID (derechos de decisión, Bain); matriz de delegación de autoridad / aprobaciones (umbrales y cuantías). A caballo con Procesos (SOP 07) y con la ficha (03).</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2026-08-09T06:46:10.705Z</dcterms:created>
  <dcterms:modified xsi:type="dcterms:W3CDTF">2026-08-09T06:46:10.705Z</dcterms:modified>
</cp:coreProperties>
</file>

<file path=docProps/custom.xml><?xml version="1.0" encoding="utf-8"?>
<Properties xmlns="http://schemas.openxmlformats.org/officeDocument/2006/custom-properties" xmlns:vt="http://schemas.openxmlformats.org/officeDocument/2006/docPropsVTypes"/>
</file>