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05070A"/>
          <w:spacing w:val="60"/>
          <w:sz w:val="20"/>
          <w:szCs w:val="20"/>
        </w:rPr>
        <w:t xml:space="preserve">DÍA UNO</w:t>
      </w:r>
      <w:r>
        <w:rPr>
          <w:color w:val="6A767B"/>
          <w:spacing w:val="40"/>
          <w:sz w:val="14"/>
          <w:szCs w:val="14"/>
        </w:rPr>
        <w:t xml:space="preserve">   ·   SISTEMA OPERATIVO HÍBRIDO</w:t>
      </w:r>
    </w:p>
    <w:p>
      <w:pPr>
        <w:pBdr>
          <w:bottom w:val="single" w:color="0C6F7F" w:sz="6" w:space="2"/>
        </w:pBdr>
        <w:spacing w:after="160"/>
      </w:pPr>
    </w:p>
    <w:p>
      <w:pPr>
        <w:spacing w:after="40" w:before="40"/>
      </w:pPr>
      <w:r>
        <w:rPr>
          <w:b/>
          <w:bCs/>
          <w:color w:val="0C6F7F"/>
          <w:spacing w:val="30"/>
          <w:sz w:val="14"/>
          <w:szCs w:val="14"/>
        </w:rPr>
        <w:t xml:space="preserve">PILAR RUMBO · INTRODUCCIÓN A LA CAPACIDAD</w:t>
      </w:r>
    </w:p>
    <w:p>
      <w:pPr>
        <w:spacing w:after="80"/>
      </w:pPr>
      <w:r>
        <w:rPr>
          <w:b/>
          <w:bCs/>
          <w:color w:val="05070A"/>
          <w:sz w:val="34"/>
          <w:szCs w:val="34"/>
        </w:rPr>
        <w:t xml:space="preserve">¿Qué es Rumbo?</w:t>
      </w:r>
    </w:p>
    <w:p>
      <w:pPr>
        <w:spacing w:after="60" w:line="280"/>
      </w:pPr>
      <w:r>
        <w:rPr>
          <w:i/>
          <w:iCs/>
          <w:color w:val="6A767B"/>
          <w:sz w:val="20"/>
          <w:szCs w:val="20"/>
        </w:rPr>
        <w:t xml:space="preserve">La fuente de la que cuelga todo el sistema. A dónde va la empresa, qué la gobierna, para quién trabaja, cómo gana y qué considera sagrado. El documento madre de DÍA UNO — y el primero que se instala.</w:t>
      </w:r>
    </w:p>
    <w:tbl>
      <w:tblPr>
        <w:tblW w:type="dxa" w:w="9026"/>
        <w:tblBorders>
          <w:top w:val="none"/>
          <w:left w:val="single" w:color="0C6F7F" w:sz="18"/>
          <w:bottom w:val="none"/>
          <w:right w:val="none"/>
          <w:insideH w:val="none"/>
          <w:insideV w:val="none"/>
        </w:tblBorders>
      </w:tblPr>
      <w:tblGrid>
        <w:gridCol w:w="9026"/>
      </w:tblGrid>
      <w:tr>
        <w:tc>
          <w:tcPr>
            <w:tcW w:type="dxa" w:w="9026"/>
            <w:shd w:fill="EEF4F4" w:color="auto" w:val="clear"/>
            <w:tcMar>
              <w:top w:type="dxa" w:w="130"/>
              <w:left w:type="dxa" w:w="200"/>
              <w:bottom w:type="dxa" w:w="130"/>
              <w:right w:type="dxa" w:w="160"/>
            </w:tcMar>
          </w:tcPr>
          <w:p>
            <w:pPr>
              <w:spacing w:line="284"/>
            </w:pPr>
            <w:r>
              <w:rPr>
                <w:b/>
                <w:bCs/>
                <w:color w:val="05070A"/>
                <w:sz w:val="19"/>
                <w:szCs w:val="19"/>
              </w:rPr>
              <w:t xml:space="preserve">Para quién es este documento. </w:t>
            </w:r>
            <w:r>
              <w:rPr>
                <w:color w:val="3A4348"/>
                <w:sz w:val="19"/>
                <w:szCs w:val="19"/>
              </w:rPr>
              <w:t xml:space="preserve">Para el empresario y el consultor que van a construir el Rumbo de una empresa por primera vez. Antes de entrar en cada sub-herramienta, aquí está el mapa del pilar: qué es Rumbo, por qué es la pieza de la que dependen las demás, en qué cuatro piezas se desdobla y cómo se compara con los grandes sistemas (el VTO de EOS y el OPSP de Scaling Up). De aquí cuelgan las cuatro sub-herramientas del Rumbo.</w:t>
            </w:r>
          </w:p>
        </w:tc>
      </w:tr>
    </w:tbl>
    <w:p>
      <w:pPr>
        <w:spacing w:after="110" w:before="300"/>
      </w:pPr>
      <w:r>
        <w:rPr>
          <w:b/>
          <w:bCs/>
          <w:color w:val="0C6F7F"/>
          <w:spacing w:val="15"/>
          <w:sz w:val="21"/>
          <w:szCs w:val="21"/>
        </w:rPr>
        <w:t xml:space="preserve">1 · Qué es Rumbo</w:t>
      </w:r>
    </w:p>
    <w:p>
      <w:pPr>
        <w:spacing w:after="120" w:line="288"/>
      </w:pPr>
      <w:r>
        <w:rPr>
          <w:i w:val="false"/>
          <w:iCs w:val="false"/>
          <w:color w:val="3A4348"/>
          <w:sz w:val="20"/>
          <w:szCs w:val="20"/>
        </w:rPr>
        <w:t xml:space="preserve">Rumbo es el pilar que responde a la pregunta más básica y más ignorada de una empresa: ¿a dónde vamos y qué nos gobierna por el camino? No es un plan de negocio de cincuenta páginas que nadie relee, ni una frase bonita en la pared. Es el conjunto de decisiones de fondo —quiénes somos, para quién trabajamos, cómo ganamos dinero y qué no estamos dispuestos a traicionar— escritas de forma que el resto de la empresa pueda colgarse de ellas.</w:t>
      </w:r>
    </w:p>
    <w:p>
      <w:pPr>
        <w:spacing w:after="120" w:line="288"/>
      </w:pPr>
      <w:r>
        <w:rPr>
          <w:i w:val="false"/>
          <w:iCs w:val="false"/>
          <w:color w:val="3A4348"/>
          <w:sz w:val="20"/>
          <w:szCs w:val="20"/>
        </w:rPr>
        <w:t xml:space="preserve">La palabra clave es «colgarse». En DÍA UNO, Rumbo no es un documento más entre diecisiete: es la raíz. Los hitos del trimestre se sacan del Rumbo. Los indicadores que de verdad importan se derivan del Rumbo. La ficha de cada puesto existe para cumplir una parte del Rumbo. Cuando el Rumbo está claro, el resto del sistema tiene contra qué medirse; cuando está borroso, cada área tira por su lado y la empresa gasta su energía en decidir una y otra vez cosas que deberían estar decididas.</w:t>
      </w:r>
    </w:p>
    <w:p>
      <w:pPr>
        <w:spacing w:after="120" w:line="288"/>
      </w:pPr>
      <w:r>
        <w:rPr>
          <w:b/>
          <w:bCs/>
          <w:color w:val="05070A"/>
          <w:sz w:val="20"/>
          <w:szCs w:val="20"/>
        </w:rPr>
        <w:t xml:space="preserve">Qué no es. </w:t>
      </w:r>
      <w:r>
        <w:rPr>
          <w:color w:val="3A4348"/>
          <w:sz w:val="20"/>
          <w:szCs w:val="20"/>
        </w:rPr>
        <w:t xml:space="preserve">Rumbo no es previsión financiera (eso es la Caja), ni la lista de tareas del trimestre (eso son los Hitos), ni un ejercicio de marketing. Es la capa de intención: la que da sentido a todo lo que viene después. Si una empresa solo pudiera instalar una pieza de DÍA UNO, sería esta — porque sin ella las demás no saben a qué servir.</w:t>
      </w:r>
    </w:p>
    <w:p>
      <w:pPr>
        <w:spacing w:after="110" w:before="300"/>
      </w:pPr>
      <w:r>
        <w:rPr>
          <w:b/>
          <w:bCs/>
          <w:color w:val="0C6F7F"/>
          <w:spacing w:val="15"/>
          <w:sz w:val="21"/>
          <w:szCs w:val="21"/>
        </w:rPr>
        <w:t xml:space="preserve">2 · Para qué sirve</w:t>
      </w:r>
    </w:p>
    <w:p>
      <w:pPr>
        <w:spacing w:after="120" w:line="288"/>
      </w:pPr>
      <w:r>
        <w:rPr>
          <w:i w:val="false"/>
          <w:iCs w:val="false"/>
          <w:color w:val="3A4348"/>
          <w:sz w:val="20"/>
          <w:szCs w:val="20"/>
        </w:rPr>
        <w:t xml:space="preserve">El síntoma de una empresa sin Rumbo explícito no es que le falte ambición: es que gasta una cantidad enorme de energía en fricción de dirección. Dos socios que quieren cosas distintas sin saberlo. Un equipo comercial que promete lo que operaciones no puede sostener. Oportunidades que se persiguen porque aparecieron, no porque encajen. Contrataciones que se hacen «porque hacía falta alguien» sin un criterio de a quién servía ese asiento. Todo eso es lo mismo: decisiones tomadas sin una referencia común.</w:t>
      </w:r>
    </w:p>
    <w:p>
      <w:pPr>
        <w:spacing w:after="120" w:line="288"/>
      </w:pPr>
      <w:r>
        <w:rPr>
          <w:i w:val="false"/>
          <w:iCs w:val="false"/>
          <w:color w:val="3A4348"/>
          <w:sz w:val="20"/>
          <w:szCs w:val="20"/>
        </w:rPr>
        <w:t xml:space="preserve">Rumbo sirve para dejar de decidir desde cero cada vez. Cuando el destino a tres años está escrito, cuando los valores innegociables están nombrados, cuando está claro para qué cliente existimos y cómo ganamos frente a los demás, el 80% de las decisiones diarias se resuelven solas: basta con preguntarse si acercan o alejan del Rumbo. Ese es el alivio que produce — y por eso es la puerta de entrada. No se vende visión; se quita el desgaste de dirigir sin brújula.</w:t>
      </w:r>
    </w:p>
    <w:tbl>
      <w:tblPr>
        <w:tblW w:type="dxa" w:w="9026"/>
        <w:tblBorders>
          <w:top w:val="none"/>
          <w:left w:val="single" w:color="0C6F7F" w:sz="18"/>
          <w:bottom w:val="none"/>
          <w:right w:val="none"/>
          <w:insideH w:val="none"/>
          <w:insideV w:val="none"/>
        </w:tblBorders>
      </w:tblPr>
      <w:tblGrid>
        <w:gridCol w:w="9026"/>
      </w:tblGrid>
      <w:tr>
        <w:tc>
          <w:tcPr>
            <w:tcW w:type="dxa" w:w="9026"/>
            <w:shd w:fill="EEF4F4" w:color="auto" w:val="clear"/>
            <w:tcMar>
              <w:top w:type="dxa" w:w="130"/>
              <w:left w:type="dxa" w:w="200"/>
              <w:bottom w:type="dxa" w:w="130"/>
              <w:right w:type="dxa" w:w="160"/>
            </w:tcMar>
          </w:tcPr>
          <w:p>
            <w:pPr>
              <w:spacing w:line="284"/>
            </w:pPr>
            <w:r>
              <w:rPr>
                <w:b/>
                <w:bCs/>
                <w:color w:val="05070A"/>
                <w:sz w:val="19"/>
                <w:szCs w:val="19"/>
              </w:rPr>
              <w:t xml:space="preserve">El coste de no tenerlo. </w:t>
            </w:r>
            <w:r>
              <w:rPr>
                <w:color w:val="3A4348"/>
                <w:sz w:val="19"/>
                <w:szCs w:val="19"/>
              </w:rPr>
              <w:t xml:space="preserve">Una empresa puede facturar durante años sin un Rumbo escrito, apoyada en la cabeza del fundador. El problema aparece cuando crece: en cuanto hay más de una persona tomando decisiones, la ausencia de Rumbo se paga en incoherencias, en reuniones que no cierran nada y en un fundador convertido en cuello de botella de cada decisión de fondo.</w:t>
            </w:r>
          </w:p>
        </w:tc>
      </w:tr>
    </w:tbl>
    <w:p>
      <w:pPr>
        <w:spacing w:after="110" w:before="300"/>
      </w:pPr>
      <w:r>
        <w:rPr>
          <w:b/>
          <w:bCs/>
          <w:color w:val="0C6F7F"/>
          <w:spacing w:val="15"/>
          <w:sz w:val="21"/>
          <w:szCs w:val="21"/>
        </w:rPr>
        <w:t xml:space="preserve">3 · Cómo funciona: el documento madre y sus cuatro piezas</w:t>
      </w:r>
    </w:p>
    <w:p>
      <w:pPr>
        <w:spacing w:after="120" w:line="288"/>
      </w:pPr>
      <w:r>
        <w:rPr>
          <w:i w:val="false"/>
          <w:iCs w:val="false"/>
          <w:color w:val="3A4348"/>
          <w:sz w:val="20"/>
          <w:szCs w:val="20"/>
        </w:rPr>
        <w:t xml:space="preserve">Aquí DÍA UNO se separa de la mayoría de los métodos. En EOS, toda la visión se recoge en un único documento —el V/TO, Vision/Traction Organizer— que se rellena en dos jornadas de trabajo. En Scaling Up, en una sola hoja —el OPSP, One-Page Strategic Plan— con siete columnas. Ambos son excelentes, y de ambos aprendemos. Pero los dos comparten un problema para la pyme que empieza: piden responder de golpe a demasiadas preguntas grandes, y el resultado suele ser un documento rellenado a medias que no convence a nadie.</w:t>
      </w:r>
    </w:p>
    <w:p>
      <w:pPr>
        <w:spacing w:after="120" w:line="288"/>
      </w:pPr>
      <w:r>
        <w:rPr>
          <w:i w:val="false"/>
          <w:iCs w:val="false"/>
          <w:color w:val="3A4348"/>
          <w:sz w:val="20"/>
          <w:szCs w:val="20"/>
        </w:rPr>
        <w:t xml:space="preserve">Por eso en DÍA UNO el Rumbo no es una herramienta, son cuatro. Cada una aísla una de las grandes preguntas para que la empresa pueda trabajarla de verdad, con su propia teoría y su propia plantilla, y las cuatro juntas componen el documento madre — el equivalente al VTO o al OPSP, pero construido pieza a pieza en vez de todo a la vez.</w:t>
      </w:r>
    </w:p>
    <w:tbl>
      <w:tblPr>
        <w:tblW w:type="dxa" w:w="9026"/>
        <w:tblBorders>
          <w:top w:val="single" w:color="D5DCDD" w:sz="4"/>
          <w:left w:val="single" w:color="D5DCDD" w:sz="4"/>
          <w:bottom w:val="single" w:color="D5DCDD" w:sz="4"/>
          <w:right w:val="single" w:color="D5DCDD" w:sz="4"/>
          <w:insideH w:val="single" w:color="D5DCDD" w:sz="4"/>
          <w:insideV w:val="single" w:color="D5DCDD" w:sz="4"/>
        </w:tblBorders>
      </w:tblPr>
      <w:tblGrid>
        <w:gridCol w:w="1900"/>
        <w:gridCol w:w="3200"/>
        <w:gridCol w:w="3926"/>
      </w:tblGrid>
      <w:tr>
        <w:trPr>
          <w:tblHeader/>
        </w:trPr>
        <w:tc>
          <w:tcPr>
            <w:tcW w:type="dxa" w:w="1900"/>
            <w:shd w:fill="0C6F7F" w:color="auto" w:val="clear"/>
            <w:tcMar>
              <w:top w:type="dxa" w:w="90"/>
              <w:left w:type="dxa" w:w="130"/>
              <w:bottom w:type="dxa" w:w="90"/>
              <w:right w:type="dxa" w:w="130"/>
            </w:tcMar>
          </w:tcPr>
          <w:p>
            <w:r>
              <w:rPr>
                <w:b/>
                <w:bCs/>
                <w:color w:val="FFFFFF"/>
                <w:sz w:val="16"/>
                <w:szCs w:val="16"/>
              </w:rPr>
              <w:t xml:space="preserve">Sub-herramienta</w:t>
            </w:r>
          </w:p>
        </w:tc>
        <w:tc>
          <w:tcPr>
            <w:tcW w:type="dxa" w:w="3200"/>
            <w:shd w:fill="0C6F7F" w:color="auto" w:val="clear"/>
            <w:tcMar>
              <w:top w:type="dxa" w:w="90"/>
              <w:left w:type="dxa" w:w="130"/>
              <w:bottom w:type="dxa" w:w="90"/>
              <w:right w:type="dxa" w:w="130"/>
            </w:tcMar>
          </w:tcPr>
          <w:p>
            <w:r>
              <w:rPr>
                <w:b/>
                <w:bCs/>
                <w:color w:val="FFFFFF"/>
                <w:sz w:val="16"/>
                <w:szCs w:val="16"/>
              </w:rPr>
              <w:t xml:space="preserve">La pregunta que responde</w:t>
            </w:r>
          </w:p>
        </w:tc>
        <w:tc>
          <w:tcPr>
            <w:tcW w:type="dxa" w:w="3926"/>
            <w:shd w:fill="0C6F7F" w:color="auto" w:val="clear"/>
            <w:tcMar>
              <w:top w:type="dxa" w:w="90"/>
              <w:left w:type="dxa" w:w="130"/>
              <w:bottom w:type="dxa" w:w="90"/>
              <w:right w:type="dxa" w:w="130"/>
            </w:tcMar>
          </w:tcPr>
          <w:p>
            <w:r>
              <w:rPr>
                <w:b/>
                <w:bCs/>
                <w:color w:val="FFFFFF"/>
                <w:sz w:val="16"/>
                <w:szCs w:val="16"/>
              </w:rPr>
              <w:t xml:space="preserve">Sus homónimos</w:t>
            </w:r>
          </w:p>
        </w:tc>
      </w:tr>
      <w:tr>
        <w:tc>
          <w:tcPr>
            <w:tcW w:type="dxa" w:w="1900"/>
            <w:tcMar>
              <w:top w:type="dxa" w:w="90"/>
              <w:left w:type="dxa" w:w="130"/>
              <w:bottom w:type="dxa" w:w="90"/>
              <w:right w:type="dxa" w:w="130"/>
            </w:tcMar>
          </w:tcPr>
          <w:p>
            <w:pPr>
              <w:spacing w:line="264"/>
            </w:pPr>
            <w:r>
              <w:rPr>
                <w:b/>
                <w:bCs/>
                <w:color w:val="05070A"/>
                <w:sz w:val="16"/>
                <w:szCs w:val="16"/>
              </w:rPr>
              <w:t xml:space="preserve">1 · Propósito y Meta</w:t>
            </w:r>
          </w:p>
        </w:tc>
        <w:tc>
          <w:tcPr>
            <w:tcW w:type="dxa" w:w="3200"/>
            <w:tcMar>
              <w:top w:type="dxa" w:w="90"/>
              <w:left w:type="dxa" w:w="130"/>
              <w:bottom w:type="dxa" w:w="90"/>
              <w:right w:type="dxa" w:w="130"/>
            </w:tcMar>
          </w:tcPr>
          <w:p>
            <w:pPr>
              <w:spacing w:line="264"/>
            </w:pPr>
            <w:r>
              <w:rPr>
                <w:b w:val="false"/>
                <w:bCs w:val="false"/>
                <w:color w:val="3A4348"/>
                <w:sz w:val="16"/>
                <w:szCs w:val="16"/>
              </w:rPr>
              <w:t xml:space="preserve">¿Por qué existimos y a dónde vamos? (misión, visión, meta a 3 años)</w:t>
            </w:r>
          </w:p>
        </w:tc>
        <w:tc>
          <w:tcPr>
            <w:tcW w:type="dxa" w:w="3926"/>
            <w:tcMar>
              <w:top w:type="dxa" w:w="90"/>
              <w:left w:type="dxa" w:w="130"/>
              <w:bottom w:type="dxa" w:w="90"/>
              <w:right w:type="dxa" w:w="130"/>
            </w:tcMar>
          </w:tcPr>
          <w:p>
            <w:pPr>
              <w:spacing w:line="264"/>
            </w:pPr>
            <w:r>
              <w:rPr>
                <w:b w:val="false"/>
                <w:bCs w:val="false"/>
                <w:color w:val="3A4348"/>
                <w:sz w:val="16"/>
                <w:szCs w:val="16"/>
              </w:rPr>
              <w:t xml:space="preserve">Core Focus + 10-Year Target + 3-Year Picture (EOS) · Purpose + BHAG (Scaling Up)</w:t>
            </w:r>
          </w:p>
        </w:tc>
      </w:tr>
      <w:tr>
        <w:tc>
          <w:tcPr>
            <w:tcW w:type="dxa" w:w="1900"/>
            <w:tcMar>
              <w:top w:type="dxa" w:w="90"/>
              <w:left w:type="dxa" w:w="130"/>
              <w:bottom w:type="dxa" w:w="90"/>
              <w:right w:type="dxa" w:w="130"/>
            </w:tcMar>
          </w:tcPr>
          <w:p>
            <w:pPr>
              <w:spacing w:line="264"/>
            </w:pPr>
            <w:r>
              <w:rPr>
                <w:b/>
                <w:bCs/>
                <w:color w:val="05070A"/>
                <w:sz w:val="16"/>
                <w:szCs w:val="16"/>
              </w:rPr>
              <w:t xml:space="preserve">2 · Valores innegociables</w:t>
            </w:r>
          </w:p>
        </w:tc>
        <w:tc>
          <w:tcPr>
            <w:tcW w:type="dxa" w:w="3200"/>
            <w:tcMar>
              <w:top w:type="dxa" w:w="90"/>
              <w:left w:type="dxa" w:w="130"/>
              <w:bottom w:type="dxa" w:w="90"/>
              <w:right w:type="dxa" w:w="130"/>
            </w:tcMar>
          </w:tcPr>
          <w:p>
            <w:pPr>
              <w:spacing w:line="264"/>
            </w:pPr>
            <w:r>
              <w:rPr>
                <w:b w:val="false"/>
                <w:bCs w:val="false"/>
                <w:color w:val="3A4348"/>
                <w:sz w:val="16"/>
                <w:szCs w:val="16"/>
              </w:rPr>
              <w:t xml:space="preserve">¿Qué es sagrado? ¿Qué comportamiento no traicionamos?</w:t>
            </w:r>
          </w:p>
        </w:tc>
        <w:tc>
          <w:tcPr>
            <w:tcW w:type="dxa" w:w="3926"/>
            <w:tcMar>
              <w:top w:type="dxa" w:w="90"/>
              <w:left w:type="dxa" w:w="130"/>
              <w:bottom w:type="dxa" w:w="90"/>
              <w:right w:type="dxa" w:w="130"/>
            </w:tcMar>
          </w:tcPr>
          <w:p>
            <w:pPr>
              <w:spacing w:line="264"/>
            </w:pPr>
            <w:r>
              <w:rPr>
                <w:b w:val="false"/>
                <w:bCs w:val="false"/>
                <w:color w:val="3A4348"/>
                <w:sz w:val="16"/>
                <w:szCs w:val="16"/>
              </w:rPr>
              <w:t xml:space="preserve">Core Values (EOS y Scaling Up)</w:t>
            </w:r>
          </w:p>
        </w:tc>
      </w:tr>
      <w:tr>
        <w:tc>
          <w:tcPr>
            <w:tcW w:type="dxa" w:w="1900"/>
            <w:tcMar>
              <w:top w:type="dxa" w:w="90"/>
              <w:left w:type="dxa" w:w="130"/>
              <w:bottom w:type="dxa" w:w="90"/>
              <w:right w:type="dxa" w:w="130"/>
            </w:tcMar>
          </w:tcPr>
          <w:p>
            <w:pPr>
              <w:spacing w:line="264"/>
            </w:pPr>
            <w:r>
              <w:rPr>
                <w:b/>
                <w:bCs/>
                <w:color w:val="05070A"/>
                <w:sz w:val="16"/>
                <w:szCs w:val="16"/>
              </w:rPr>
              <w:t xml:space="preserve">3 · Cómo ganamos</w:t>
            </w:r>
          </w:p>
        </w:tc>
        <w:tc>
          <w:tcPr>
            <w:tcW w:type="dxa" w:w="3200"/>
            <w:tcMar>
              <w:top w:type="dxa" w:w="90"/>
              <w:left w:type="dxa" w:w="130"/>
              <w:bottom w:type="dxa" w:w="90"/>
              <w:right w:type="dxa" w:w="130"/>
            </w:tcMar>
          </w:tcPr>
          <w:p>
            <w:pPr>
              <w:spacing w:line="264"/>
            </w:pPr>
            <w:r>
              <w:rPr>
                <w:b w:val="false"/>
                <w:bCs w:val="false"/>
                <w:color w:val="3A4348"/>
                <w:sz w:val="16"/>
                <w:szCs w:val="16"/>
              </w:rPr>
              <w:t xml:space="preserve">¿Para quién trabajamos y por qué nos eligen a nosotros?</w:t>
            </w:r>
          </w:p>
        </w:tc>
        <w:tc>
          <w:tcPr>
            <w:tcW w:type="dxa" w:w="3926"/>
            <w:tcMar>
              <w:top w:type="dxa" w:w="90"/>
              <w:left w:type="dxa" w:w="130"/>
              <w:bottom w:type="dxa" w:w="90"/>
              <w:right w:type="dxa" w:w="130"/>
            </w:tcMar>
          </w:tcPr>
          <w:p>
            <w:pPr>
              <w:spacing w:line="264"/>
            </w:pPr>
            <w:r>
              <w:rPr>
                <w:b w:val="false"/>
                <w:bCs w:val="false"/>
                <w:color w:val="3A4348"/>
                <w:sz w:val="16"/>
                <w:szCs w:val="16"/>
              </w:rPr>
              <w:t xml:space="preserve">Marketing Strategy / 3 uniques / guarantee (EOS) · Brand Promise (Scaling Up)</w:t>
            </w:r>
          </w:p>
        </w:tc>
      </w:tr>
      <w:tr>
        <w:tc>
          <w:tcPr>
            <w:tcW w:type="dxa" w:w="1900"/>
            <w:tcMar>
              <w:top w:type="dxa" w:w="90"/>
              <w:left w:type="dxa" w:w="130"/>
              <w:bottom w:type="dxa" w:w="90"/>
              <w:right w:type="dxa" w:w="130"/>
            </w:tcMar>
          </w:tcPr>
          <w:p>
            <w:pPr>
              <w:spacing w:line="264"/>
            </w:pPr>
            <w:r>
              <w:rPr>
                <w:b/>
                <w:bCs/>
                <w:color w:val="05070A"/>
                <w:sz w:val="16"/>
                <w:szCs w:val="16"/>
              </w:rPr>
              <w:t xml:space="preserve">4 · Caja y North Stars</w:t>
            </w:r>
          </w:p>
        </w:tc>
        <w:tc>
          <w:tcPr>
            <w:tcW w:type="dxa" w:w="3200"/>
            <w:tcMar>
              <w:top w:type="dxa" w:w="90"/>
              <w:left w:type="dxa" w:w="130"/>
              <w:bottom w:type="dxa" w:w="90"/>
              <w:right w:type="dxa" w:w="130"/>
            </w:tcMar>
          </w:tcPr>
          <w:p>
            <w:pPr>
              <w:spacing w:line="264"/>
            </w:pPr>
            <w:r>
              <w:rPr>
                <w:b w:val="false"/>
                <w:bCs w:val="false"/>
                <w:color w:val="3A4348"/>
                <w:sz w:val="16"/>
                <w:szCs w:val="16"/>
              </w:rPr>
              <w:t xml:space="preserve">¿Cuál es nuestro motor económico y qué métricas madre lo miden?</w:t>
            </w:r>
          </w:p>
        </w:tc>
        <w:tc>
          <w:tcPr>
            <w:tcW w:type="dxa" w:w="3926"/>
            <w:tcMar>
              <w:top w:type="dxa" w:w="90"/>
              <w:left w:type="dxa" w:w="130"/>
              <w:bottom w:type="dxa" w:w="90"/>
              <w:right w:type="dxa" w:w="130"/>
            </w:tcMar>
          </w:tcPr>
          <w:p>
            <w:pPr>
              <w:spacing w:line="264"/>
            </w:pPr>
            <w:r>
              <w:rPr>
                <w:b w:val="false"/>
                <w:bCs w:val="false"/>
                <w:color w:val="3A4348"/>
                <w:sz w:val="16"/>
                <w:szCs w:val="16"/>
              </w:rPr>
              <w:t xml:space="preserve">Casi ausente en EOS · Profit per X / Critical Number / Cash (Scaling Up)</w:t>
            </w:r>
          </w:p>
        </w:tc>
      </w:tr>
    </w:tbl>
    <w:p>
      <w:pPr>
        <w:spacing w:after="60" w:line="288"/>
      </w:pPr>
      <w:r>
        <w:rPr>
          <w:i w:val="false"/>
          <w:iCs w:val="false"/>
          <w:color w:val="3A4348"/>
          <w:sz w:val="20"/>
          <w:szCs w:val="20"/>
        </w:rPr>
        <w:t xml:space="preserve">Las tres primeras existen, con otros nombres, en cualquier buen sistema. La cuarta —Caja y North Stars dentro del Rumbo— es parte del foso de DÍA UNO: EOS apenas la toca, y nosotros la subimos al documento madre porque una empresa puede tener una visión preciosa y morir por tesorería. El motor económico no es una consecuencia de la estrategia: es parte de la estrategia, y por eso vive en el Rumbo.</w:t>
      </w:r>
    </w:p>
    <w:tbl>
      <w:tblPr>
        <w:tblW w:type="dxa" w:w="9026"/>
        <w:tblBorders>
          <w:top w:val="none"/>
          <w:left w:val="single" w:color="0C6F7F" w:sz="18"/>
          <w:bottom w:val="none"/>
          <w:right w:val="none"/>
          <w:insideH w:val="none"/>
          <w:insideV w:val="none"/>
        </w:tblBorders>
      </w:tblPr>
      <w:tblGrid>
        <w:gridCol w:w="9026"/>
      </w:tblGrid>
      <w:tr>
        <w:tc>
          <w:tcPr>
            <w:tcW w:type="dxa" w:w="9026"/>
            <w:shd w:fill="F3EEDC" w:color="auto" w:val="clear"/>
            <w:tcMar>
              <w:top w:type="dxa" w:w="130"/>
              <w:left w:type="dxa" w:w="200"/>
              <w:bottom w:type="dxa" w:w="130"/>
              <w:right w:type="dxa" w:w="160"/>
            </w:tcMar>
          </w:tcPr>
          <w:p>
            <w:pPr>
              <w:spacing w:line="284"/>
            </w:pPr>
            <w:r>
              <w:rPr>
                <w:b/>
                <w:bCs/>
                <w:color w:val="05070A"/>
                <w:sz w:val="19"/>
                <w:szCs w:val="19"/>
              </w:rPr>
              <w:t xml:space="preserve">El orden importa. </w:t>
            </w:r>
            <w:r>
              <w:rPr>
                <w:color w:val="3A4348"/>
                <w:sz w:val="19"/>
                <w:szCs w:val="19"/>
              </w:rPr>
              <w:t xml:space="preserve">Las cuatro piezas se trabajan en este orden porque cada una alimenta a la siguiente: el propósito y la meta enmarcan todo; los valores filtran a quién queremos dentro; el «cómo ganamos» concreta a quién servimos; y la caja pone números madre a ese destino. No es obligatorio cerrarlas el mismo día, pero sí respetá la secuencia.</w:t>
            </w:r>
          </w:p>
        </w:tc>
      </w:tr>
    </w:tbl>
    <w:p>
      <w:pPr>
        <w:spacing w:after="110" w:before="300"/>
      </w:pPr>
      <w:r>
        <w:rPr>
          <w:b/>
          <w:bCs/>
          <w:color w:val="0C6F7F"/>
          <w:spacing w:val="15"/>
          <w:sz w:val="21"/>
          <w:szCs w:val="21"/>
        </w:rPr>
        <w:t xml:space="preserve">4 · Resultado e impacto</w:t>
      </w:r>
    </w:p>
    <w:p>
      <w:pPr>
        <w:spacing w:after="120" w:line="288"/>
      </w:pPr>
      <w:r>
        <w:rPr>
          <w:i w:val="false"/>
          <w:iCs w:val="false"/>
          <w:color w:val="3A4348"/>
          <w:sz w:val="20"/>
          <w:szCs w:val="20"/>
        </w:rPr>
        <w:t xml:space="preserve">Cuando el Rumbo está bien hecho, el cambio se nota en sitios que no parecen tener que ver con la estrategia. Las reuniones se acortan, porque hay una referencia común contra la que zanjar discusiones. Las contrataciones mejoran, porque hay un criterio de a quién sirve cada asiento y qué valores exige. El comercial deja de prometer imposibles, porque sabe cuál es la promesa de la empresa. Y el fundador empieza a poder soltar decisiones, porque ya no es la única fuente de criterio.</w:t>
      </w:r>
    </w:p>
    <w:p>
      <w:pPr>
        <w:spacing w:after="120" w:line="288"/>
      </w:pPr>
      <w:r>
        <w:rPr>
          <w:i w:val="false"/>
          <w:iCs w:val="false"/>
          <w:color w:val="3A4348"/>
          <w:sz w:val="20"/>
          <w:szCs w:val="20"/>
        </w:rPr>
        <w:t xml:space="preserve">Cuando el Rumbo falta o está mal hecho, pasa lo contrario, y de forma silenciosa: la empresa parece funcionar, pero cada trimestre repite las mismas discusiones, persigue oportunidades que la desvían, y depende de que el dueño esté en cada conversación importante. El daño de un mal Rumbo no es un incendio; es una fuga lenta de energía que se confunde con «así es esto».</w:t>
      </w:r>
    </w:p>
    <w:p>
      <w:pPr>
        <w:spacing w:after="110" w:before="300"/>
      </w:pPr>
      <w:r>
        <w:rPr>
          <w:b/>
          <w:bCs/>
          <w:color w:val="0C6F7F"/>
          <w:spacing w:val="15"/>
          <w:sz w:val="21"/>
          <w:szCs w:val="21"/>
        </w:rPr>
        <w:t xml:space="preserve">5 · La madurez del Rumbo (1-10)</w:t>
      </w:r>
    </w:p>
    <w:p>
      <w:pPr>
        <w:spacing w:after="120" w:line="288"/>
      </w:pPr>
      <w:r>
        <w:rPr>
          <w:i w:val="false"/>
          <w:iCs w:val="false"/>
          <w:color w:val="3A4348"/>
          <w:sz w:val="20"/>
          <w:szCs w:val="20"/>
        </w:rPr>
        <w:t xml:space="preserve">Como toda herramienta de DÍA UNO, el Rumbo no es un sí/no: tiene grados. La misma escala sirve para diagnosticar dónde está una empresa y para saber cuándo su Rumbo puede empezar a sostenerse con ayuda de un agente.</w:t>
      </w:r>
    </w:p>
    <w:tbl>
      <w:tblPr>
        <w:tblW w:type="dxa" w:w="9026"/>
        <w:tblBorders>
          <w:top w:val="single" w:color="D5DCDD" w:sz="4"/>
          <w:left w:val="single" w:color="D5DCDD" w:sz="4"/>
          <w:bottom w:val="single" w:color="D5DCDD" w:sz="4"/>
          <w:right w:val="single" w:color="D5DCDD" w:sz="4"/>
          <w:insideH w:val="single" w:color="D5DCDD" w:sz="4"/>
          <w:insideV w:val="single" w:color="D5DCDD" w:sz="4"/>
        </w:tblBorders>
      </w:tblPr>
      <w:tblGrid>
        <w:gridCol w:w="2100"/>
        <w:gridCol w:w="6926"/>
      </w:tblGrid>
      <w:tr>
        <w:trPr>
          <w:tblHeader/>
        </w:trPr>
        <w:tc>
          <w:tcPr>
            <w:tcW w:type="dxa" w:w="2100"/>
            <w:shd w:fill="0C6F7F" w:color="auto" w:val="clear"/>
            <w:tcMar>
              <w:top w:type="dxa" w:w="90"/>
              <w:left w:type="dxa" w:w="130"/>
              <w:bottom w:type="dxa" w:w="90"/>
              <w:right w:type="dxa" w:w="130"/>
            </w:tcMar>
          </w:tcPr>
          <w:p>
            <w:r>
              <w:rPr>
                <w:b/>
                <w:bCs/>
                <w:color w:val="FFFFFF"/>
                <w:sz w:val="16"/>
                <w:szCs w:val="16"/>
              </w:rPr>
              <w:t xml:space="preserve">Zona</w:t>
            </w:r>
          </w:p>
        </w:tc>
        <w:tc>
          <w:tcPr>
            <w:tcW w:type="dxa" w:w="6926"/>
            <w:shd w:fill="0C6F7F" w:color="auto" w:val="clear"/>
            <w:tcMar>
              <w:top w:type="dxa" w:w="90"/>
              <w:left w:type="dxa" w:w="130"/>
              <w:bottom w:type="dxa" w:w="90"/>
              <w:right w:type="dxa" w:w="130"/>
            </w:tcMar>
          </w:tcPr>
          <w:p>
            <w:r>
              <w:rPr>
                <w:b/>
                <w:bCs/>
                <w:color w:val="FFFFFF"/>
                <w:sz w:val="16"/>
                <w:szCs w:val="16"/>
              </w:rPr>
              <w:t xml:space="preserve">Cómo se ve en el Rumbo</w:t>
            </w:r>
          </w:p>
        </w:tc>
      </w:tr>
      <w:tr>
        <w:tc>
          <w:tcPr>
            <w:tcW w:type="dxa" w:w="2100"/>
            <w:tcMar>
              <w:top w:type="dxa" w:w="90"/>
              <w:left w:type="dxa" w:w="130"/>
              <w:bottom w:type="dxa" w:w="90"/>
              <w:right w:type="dxa" w:w="130"/>
            </w:tcMar>
          </w:tcPr>
          <w:p>
            <w:pPr>
              <w:spacing w:line="264"/>
            </w:pPr>
            <w:r>
              <w:rPr>
                <w:b/>
                <w:bCs/>
                <w:color w:val="05070A"/>
                <w:sz w:val="16"/>
                <w:szCs w:val="16"/>
              </w:rPr>
              <w:t xml:space="preserve">1-2 · Inexistente</w:t>
            </w:r>
          </w:p>
        </w:tc>
        <w:tc>
          <w:tcPr>
            <w:tcW w:type="dxa" w:w="6926"/>
            <w:tcMar>
              <w:top w:type="dxa" w:w="90"/>
              <w:left w:type="dxa" w:w="130"/>
              <w:bottom w:type="dxa" w:w="90"/>
              <w:right w:type="dxa" w:w="130"/>
            </w:tcMar>
          </w:tcPr>
          <w:p>
            <w:pPr>
              <w:spacing w:line="264"/>
            </w:pPr>
            <w:r>
              <w:rPr>
                <w:b w:val="false"/>
                <w:bCs w:val="false"/>
                <w:color w:val="3A4348"/>
                <w:sz w:val="16"/>
                <w:szCs w:val="16"/>
              </w:rPr>
              <w:t xml:space="preserve">La dirección vive solo en la cabeza del fundador; nadie más la sabe formular.</w:t>
            </w:r>
          </w:p>
        </w:tc>
      </w:tr>
      <w:tr>
        <w:tc>
          <w:tcPr>
            <w:tcW w:type="dxa" w:w="2100"/>
            <w:tcMar>
              <w:top w:type="dxa" w:w="90"/>
              <w:left w:type="dxa" w:w="130"/>
              <w:bottom w:type="dxa" w:w="90"/>
              <w:right w:type="dxa" w:w="130"/>
            </w:tcMar>
          </w:tcPr>
          <w:p>
            <w:pPr>
              <w:spacing w:line="264"/>
            </w:pPr>
            <w:r>
              <w:rPr>
                <w:b/>
                <w:bCs/>
                <w:color w:val="05070A"/>
                <w:sz w:val="16"/>
                <w:szCs w:val="16"/>
              </w:rPr>
              <w:t xml:space="preserve">3-4 · Tácito</w:t>
            </w:r>
          </w:p>
        </w:tc>
        <w:tc>
          <w:tcPr>
            <w:tcW w:type="dxa" w:w="6926"/>
            <w:tcMar>
              <w:top w:type="dxa" w:w="90"/>
              <w:left w:type="dxa" w:w="130"/>
              <w:bottom w:type="dxa" w:w="90"/>
              <w:right w:type="dxa" w:w="130"/>
            </w:tcMar>
          </w:tcPr>
          <w:p>
            <w:pPr>
              <w:spacing w:line="264"/>
            </w:pPr>
            <w:r>
              <w:rPr>
                <w:b w:val="false"/>
                <w:bCs w:val="false"/>
                <w:color w:val="3A4348"/>
                <w:sz w:val="16"/>
                <w:szCs w:val="16"/>
              </w:rPr>
              <w:t xml:space="preserve">Se intuye a dónde vamos, pero no está escrito; cada socio lo contaría distinto.</w:t>
            </w:r>
          </w:p>
        </w:tc>
      </w:tr>
      <w:tr>
        <w:tc>
          <w:tcPr>
            <w:tcW w:type="dxa" w:w="2100"/>
            <w:tcMar>
              <w:top w:type="dxa" w:w="90"/>
              <w:left w:type="dxa" w:w="130"/>
              <w:bottom w:type="dxa" w:w="90"/>
              <w:right w:type="dxa" w:w="130"/>
            </w:tcMar>
          </w:tcPr>
          <w:p>
            <w:pPr>
              <w:spacing w:line="264"/>
            </w:pPr>
            <w:r>
              <w:rPr>
                <w:b/>
                <w:bCs/>
                <w:color w:val="05070A"/>
                <w:sz w:val="16"/>
                <w:szCs w:val="16"/>
              </w:rPr>
              <w:t xml:space="preserve">5-6 · Documentado</w:t>
            </w:r>
          </w:p>
        </w:tc>
        <w:tc>
          <w:tcPr>
            <w:tcW w:type="dxa" w:w="6926"/>
            <w:tcMar>
              <w:top w:type="dxa" w:w="90"/>
              <w:left w:type="dxa" w:w="130"/>
              <w:bottom w:type="dxa" w:w="90"/>
              <w:right w:type="dxa" w:w="130"/>
            </w:tcMar>
          </w:tcPr>
          <w:p>
            <w:pPr>
              <w:spacing w:line="264"/>
            </w:pPr>
            <w:r>
              <w:rPr>
                <w:b w:val="false"/>
                <w:bCs w:val="false"/>
                <w:color w:val="3A4348"/>
                <w:sz w:val="16"/>
                <w:szCs w:val="16"/>
              </w:rPr>
              <w:t xml:space="preserve">Hay un documento de Rumbo, pero no gobierna las decisiones del día a día.</w:t>
            </w:r>
          </w:p>
        </w:tc>
      </w:tr>
      <w:tr>
        <w:tc>
          <w:tcPr>
            <w:tcW w:type="dxa" w:w="2100"/>
            <w:tcMar>
              <w:top w:type="dxa" w:w="90"/>
              <w:left w:type="dxa" w:w="130"/>
              <w:bottom w:type="dxa" w:w="90"/>
              <w:right w:type="dxa" w:w="130"/>
            </w:tcMar>
          </w:tcPr>
          <w:p>
            <w:pPr>
              <w:spacing w:line="264"/>
            </w:pPr>
            <w:r>
              <w:rPr>
                <w:b/>
                <w:bCs/>
                <w:color w:val="05070A"/>
                <w:sz w:val="16"/>
                <w:szCs w:val="16"/>
              </w:rPr>
              <w:t xml:space="preserve">7-8 · Operativo</w:t>
            </w:r>
          </w:p>
        </w:tc>
        <w:tc>
          <w:tcPr>
            <w:tcW w:type="dxa" w:w="6926"/>
            <w:tcMar>
              <w:top w:type="dxa" w:w="90"/>
              <w:left w:type="dxa" w:w="130"/>
              <w:bottom w:type="dxa" w:w="90"/>
              <w:right w:type="dxa" w:w="130"/>
            </w:tcMar>
          </w:tcPr>
          <w:p>
            <w:pPr>
              <w:spacing w:line="264"/>
            </w:pPr>
            <w:r>
              <w:rPr>
                <w:b w:val="false"/>
                <w:bCs w:val="false"/>
                <w:color w:val="3A4348"/>
                <w:sz w:val="16"/>
                <w:szCs w:val="16"/>
              </w:rPr>
              <w:t xml:space="preserve">El Rumbo se usa: los hitos, las contrataciones y las prioridades se justifican contra él.</w:t>
            </w:r>
          </w:p>
        </w:tc>
      </w:tr>
      <w:tr>
        <w:tc>
          <w:tcPr>
            <w:tcW w:type="dxa" w:w="2100"/>
            <w:tcMar>
              <w:top w:type="dxa" w:w="90"/>
              <w:left w:type="dxa" w:w="130"/>
              <w:bottom w:type="dxa" w:w="90"/>
              <w:right w:type="dxa" w:w="130"/>
            </w:tcMar>
          </w:tcPr>
          <w:p>
            <w:pPr>
              <w:spacing w:line="264"/>
            </w:pPr>
            <w:r>
              <w:rPr>
                <w:b/>
                <w:bCs/>
                <w:color w:val="05070A"/>
                <w:sz w:val="16"/>
                <w:szCs w:val="16"/>
              </w:rPr>
              <w:t xml:space="preserve">9-10 · Optimizable por IA</w:t>
            </w:r>
          </w:p>
        </w:tc>
        <w:tc>
          <w:tcPr>
            <w:tcW w:type="dxa" w:w="6926"/>
            <w:tcMar>
              <w:top w:type="dxa" w:w="90"/>
              <w:left w:type="dxa" w:w="130"/>
              <w:bottom w:type="dxa" w:w="90"/>
              <w:right w:type="dxa" w:w="130"/>
            </w:tcMar>
          </w:tcPr>
          <w:p>
            <w:pPr>
              <w:spacing w:line="264"/>
            </w:pPr>
            <w:r>
              <w:rPr>
                <w:b w:val="false"/>
                <w:bCs w:val="false"/>
                <w:color w:val="3A4348"/>
                <w:sz w:val="16"/>
                <w:szCs w:val="16"/>
              </w:rPr>
              <w:t xml:space="preserve">El Rumbo está tan estructurado que un agente puede contrastar cada decisión y cada hito contra él.</w:t>
            </w:r>
          </w:p>
        </w:tc>
      </w:tr>
    </w:tbl>
    <w:p>
      <w:pPr>
        <w:spacing w:after="110" w:before="300"/>
      </w:pPr>
      <w:r>
        <w:rPr>
          <w:b/>
          <w:bCs/>
          <w:color w:val="0C6F7F"/>
          <w:spacing w:val="15"/>
          <w:sz w:val="21"/>
          <w:szCs w:val="21"/>
        </w:rPr>
        <w:t xml:space="preserve">6 · Entradas y salidas</w:t>
      </w:r>
    </w:p>
    <w:p>
      <w:pPr>
        <w:pStyle w:val="ListParagraph"/>
        <w:numPr>
          <w:ilvl w:val="0"/>
          <w:numId w:val="2"/>
        </w:numPr>
        <w:spacing w:after="72" w:line="282"/>
      </w:pPr>
      <w:r>
        <w:rPr>
          <w:b/>
          <w:bCs/>
          <w:color w:val="05070A"/>
          <w:sz w:val="20"/>
          <w:szCs w:val="20"/>
        </w:rPr>
        <w:t xml:space="preserve">De qué depende. </w:t>
      </w:r>
      <w:r>
        <w:rPr>
          <w:color w:val="3A4348"/>
          <w:sz w:val="20"/>
          <w:szCs w:val="20"/>
        </w:rPr>
        <w:t xml:space="preserve">De muy poco: es la raíz. Su única entrada real es la dirección del CEO y el conocimiento del mercado. Por eso es lo primero que se instala — no espera a nada.</w:t>
      </w:r>
    </w:p>
    <w:p>
      <w:pPr>
        <w:pStyle w:val="ListParagraph"/>
        <w:numPr>
          <w:ilvl w:val="0"/>
          <w:numId w:val="2"/>
        </w:numPr>
        <w:spacing w:after="72" w:line="282"/>
      </w:pPr>
      <w:r>
        <w:rPr>
          <w:b/>
          <w:bCs/>
          <w:color w:val="05070A"/>
          <w:sz w:val="20"/>
          <w:szCs w:val="20"/>
        </w:rPr>
        <w:t xml:space="preserve">Qué alimenta. </w:t>
      </w:r>
      <w:r>
        <w:rPr>
          <w:color w:val="3A4348"/>
          <w:sz w:val="20"/>
          <w:szCs w:val="20"/>
        </w:rPr>
        <w:t xml:space="preserve">A casi todo. La meta a 3 años alimenta los Hitos (9) y el Panel de indicadores (12). Los valores innegociables alimentan la Ficha de puesto (3) y, a través de ella, la Evaluación (5). El «cómo ganamos» orienta los Procesos (6-7) y la promesa que miden los indicadores. La caja y los North Stars trazan al Panel de caja (8) y al de indicadores (12).</w:t>
      </w:r>
    </w:p>
    <w:tbl>
      <w:tblPr>
        <w:tblW w:type="dxa" w:w="9026"/>
        <w:tblBorders>
          <w:top w:val="none"/>
          <w:left w:val="single" w:color="0C6F7F" w:sz="18"/>
          <w:bottom w:val="none"/>
          <w:right w:val="none"/>
          <w:insideH w:val="none"/>
          <w:insideV w:val="none"/>
        </w:tblBorders>
      </w:tblPr>
      <w:tblGrid>
        <w:gridCol w:w="9026"/>
      </w:tblGrid>
      <w:tr>
        <w:tc>
          <w:tcPr>
            <w:tcW w:type="dxa" w:w="9026"/>
            <w:shd w:fill="EEF4F4" w:color="auto" w:val="clear"/>
            <w:tcMar>
              <w:top w:type="dxa" w:w="130"/>
              <w:left w:type="dxa" w:w="200"/>
              <w:bottom w:type="dxa" w:w="130"/>
              <w:right w:type="dxa" w:w="160"/>
            </w:tcMar>
          </w:tcPr>
          <w:p>
            <w:pPr>
              <w:spacing w:line="284"/>
            </w:pPr>
            <w:r>
              <w:rPr>
                <w:b/>
                <w:bCs/>
                <w:color w:val="05070A"/>
                <w:sz w:val="19"/>
                <w:szCs w:val="19"/>
              </w:rPr>
              <w:t xml:space="preserve">La regla de la dirección de la dependencia. </w:t>
            </w:r>
            <w:r>
              <w:rPr>
                <w:color w:val="3A4348"/>
                <w:sz w:val="19"/>
                <w:szCs w:val="19"/>
              </w:rPr>
              <w:t xml:space="preserve">Los valores afectan primero a la ficha de puesto y luego a la evaluación — nunca al revés. Se define qué esperamos de un asiento (ficha) antes de poder juzgar si alguien lo cumple (evaluación). Tenlo presente: es un error frecuente evaluar contra criterios que no se han escrito antes en la ficha.</w:t>
            </w:r>
          </w:p>
        </w:tc>
      </w:tr>
    </w:tbl>
    <w:p>
      <w:pPr>
        <w:spacing w:after="110" w:before="300"/>
      </w:pPr>
      <w:r>
        <w:rPr>
          <w:b/>
          <w:bCs/>
          <w:color w:val="0C6F7F"/>
          <w:spacing w:val="15"/>
          <w:sz w:val="21"/>
          <w:szCs w:val="21"/>
        </w:rPr>
        <w:t xml:space="preserve">7 · Cómo se lleva al equipo</w:t>
      </w:r>
    </w:p>
    <w:p>
      <w:pPr>
        <w:spacing w:after="120" w:line="288"/>
      </w:pPr>
      <w:r>
        <w:rPr>
          <w:i w:val="false"/>
          <w:iCs w:val="false"/>
          <w:color w:val="3A4348"/>
          <w:sz w:val="20"/>
          <w:szCs w:val="20"/>
        </w:rPr>
        <w:t xml:space="preserve">El Rumbo se construye en la cúpula, pero muere si no se traslada. El error clásico es que los socios pasan dos jornadas intensas llegando a acuerdos y luego bajan al equipo un PDF cerrado que nadie siente suyo. La adopción no se consigue enviando el documento: se consigue explicando el porqué de cada decisión, dando contexto de qué se descartó y por qué, y repitiendo el Rumbo en cada reunión trimestral hasta que se vuelve lenguaje común. Un Rumbo se ha instalado de verdad el día en que un empleado, sin mirar el papel, puede explicar a dónde va la empresa y qué es sagrado en ella.</w:t>
      </w:r>
    </w:p>
    <w:p>
      <w:pPr>
        <w:spacing w:after="110" w:before="300"/>
      </w:pPr>
      <w:r>
        <w:rPr>
          <w:b/>
          <w:bCs/>
          <w:color w:val="0C6F7F"/>
          <w:spacing w:val="15"/>
          <w:sz w:val="21"/>
          <w:szCs w:val="21"/>
        </w:rPr>
        <w:t xml:space="preserve">8 · La sesión de Rumbo</w:t>
      </w:r>
    </w:p>
    <w:p>
      <w:pPr>
        <w:spacing w:after="120" w:line="288"/>
      </w:pPr>
      <w:r>
        <w:rPr>
          <w:i w:val="false"/>
          <w:iCs w:val="false"/>
          <w:color w:val="3A4348"/>
          <w:sz w:val="20"/>
          <w:szCs w:val="20"/>
        </w:rPr>
        <w:t xml:space="preserve">El Rumbo no se rellena solo en un despacho: se trabaja en una sesión facilitada, y tanto EOS como Scaling Up la tienen parametrizada. EOS dedica dos «Vision Building Days»; Scaling Up, jornadas de planificación trimestral y anual. DÍA UNO recoge esa práctica en una hoja de facilitación que acompaña a cada sub-herramienta: quién debe estar en la sala (el equipo que de verdad decide, no toda la empresa), cuánto dura cada bloque, qué material se lleva preparado, cómo se cierra cada pieza y con qué se sale. Cada sub-herramienta trae, en su apartado de «cómo se rellena», la guía de su propia sesión.</w:t>
      </w:r>
    </w:p>
    <w:p>
      <w:pPr>
        <w:spacing w:after="110" w:before="300"/>
      </w:pPr>
      <w:r>
        <w:rPr>
          <w:b/>
          <w:bCs/>
          <w:color w:val="0C6F7F"/>
          <w:spacing w:val="15"/>
          <w:sz w:val="21"/>
          <w:szCs w:val="21"/>
        </w:rPr>
        <w:t xml:space="preserve">9 · La forma agéntica del Rumbo</w:t>
      </w:r>
    </w:p>
    <w:p>
      <w:pPr>
        <w:spacing w:after="120" w:line="288"/>
      </w:pPr>
      <w:r>
        <w:rPr>
          <w:i w:val="false"/>
          <w:iCs w:val="false"/>
          <w:color w:val="3A4348"/>
          <w:sz w:val="20"/>
          <w:szCs w:val="20"/>
        </w:rPr>
        <w:t xml:space="preserve">Cuando el Rumbo está Operativo (zona 7-8), su parte reglada puede empezar a sostenerse con un agente: contrastar cada hito propuesto contra la meta a 3 años, avisar cuando una oportunidad o una contratación se aleja de lo que la empresa dijo ser, o recordar la promesa al cliente cuando un indicador la contradice. El criterio de fondo —qué queremos ser— sigue siendo humano; lo que el agente sostiene es la coherencia entre ese criterio y las mil decisiones que cuelgan de él.</w:t>
      </w:r>
    </w:p>
    <w:p>
      <w:pPr>
        <w:spacing w:after="110" w:before="300"/>
      </w:pPr>
      <w:r>
        <w:rPr>
          <w:b/>
          <w:bCs/>
          <w:color w:val="0C6F7F"/>
          <w:spacing w:val="15"/>
          <w:sz w:val="21"/>
          <w:szCs w:val="21"/>
        </w:rPr>
        <w:t xml:space="preserve">10 · El mínimo innegociable</w:t>
      </w:r>
    </w:p>
    <w:p>
      <w:pPr>
        <w:spacing w:after="120" w:line="288"/>
      </w:pPr>
      <w:r>
        <w:rPr>
          <w:i w:val="false"/>
          <w:iCs w:val="false"/>
          <w:color w:val="3A4348"/>
          <w:sz w:val="20"/>
          <w:szCs w:val="20"/>
        </w:rPr>
        <w:t xml:space="preserve">Si una empresa no puede con las cuatro piezas de golpe, el mínimo del Rumbo es este: una meta a tres años escrita y compartida, y los valores innegociables nombrados. Con esas dos cosas ya hay contra qué medir hitos y contra qué contratar. El «cómo ganamos» y la caja se pueden trabajar después — pero sin destino y sin valores, el Rumbo no existe.</w:t>
      </w:r>
    </w:p>
    <w:p>
      <w:pPr>
        <w:spacing w:after="110" w:before="300"/>
      </w:pPr>
      <w:r>
        <w:rPr>
          <w:b/>
          <w:bCs/>
          <w:color w:val="0C6F7F"/>
          <w:spacing w:val="15"/>
          <w:sz w:val="21"/>
          <w:szCs w:val="21"/>
        </w:rPr>
        <w:t xml:space="preserve">Por dónde seguir</w:t>
      </w:r>
    </w:p>
    <w:p>
      <w:pPr>
        <w:spacing w:after="120" w:line="288"/>
      </w:pPr>
      <w:r>
        <w:rPr>
          <w:i w:val="false"/>
          <w:iCs w:val="false"/>
          <w:color w:val="6A767B"/>
          <w:sz w:val="19"/>
          <w:szCs w:val="19"/>
        </w:rPr>
        <w:t xml:space="preserve">A partir de aquí, las cuatro sub-herramientas del Rumbo, en orden: Propósito y Meta, Valores innegociables, Cómo ganamos, y Caja y North Stars. Cada una con su teoría, su guía de facilitación y su plantilla. Juntas componen el documento madre del que cuelga todo DÍA UNO.</w:t>
      </w:r>
    </w:p>
    <w:p>
      <w:pPr>
        <w:pBdr>
          <w:top w:val="single" w:color="D5DCDD" w:sz="6" w:space="6"/>
        </w:pBdr>
        <w:spacing w:before="280"/>
      </w:pPr>
      <w:r>
        <w:rPr>
          <w:color w:val="6A767B"/>
          <w:sz w:val="14"/>
          <w:szCs w:val="14"/>
        </w:rPr>
        <w:t xml:space="preserve">DÍA UNO · Pilar Rumbo · ¿Qué es Rumbo? · V2 · Documento para el cliente y para formación.</w:t>
      </w:r>
    </w:p>
    <w:sectPr>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30"/>
      </w:pPr>
      <w:rPr>
        <w:color w:val="0C6F7F"/>
      </w:rPr>
    </w:lvl>
  </w:abstractNum>
  <w:abstractNum w:abstractNumId="3" w15:restartNumberingAfterBreak="0">
    <w:multiLevelType w:val="hybridMultilevel"/>
    <w:lvl w:ilvl="0" w15:tentative="1">
      <w:start w:val="1"/>
      <w:numFmt w:val="decimal"/>
      <w:lvlText w:val="%1."/>
      <w:lvlJc w:val="left"/>
      <w:pPr>
        <w:ind w:left="360" w:hanging="25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A434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DÍA UNO</dc:creator>
  <cp:lastModifiedBy>Un-named</cp:lastModifiedBy>
  <cp:revision>1</cp:revision>
  <dcterms:created xsi:type="dcterms:W3CDTF">2026-08-08T07:38:26.404Z</dcterms:created>
  <dcterms:modified xsi:type="dcterms:W3CDTF">2026-08-08T07:38:26.404Z</dcterms:modified>
</cp:coreProperties>
</file>

<file path=docProps/custom.xml><?xml version="1.0" encoding="utf-8"?>
<Properties xmlns="http://schemas.openxmlformats.org/officeDocument/2006/custom-properties" xmlns:vt="http://schemas.openxmlformats.org/officeDocument/2006/docPropsVTypes"/>
</file>