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5070A"/>
          <w:spacing w:val="60"/>
          <w:sz w:val="20"/>
          <w:szCs w:val="20"/>
        </w:rPr>
        <w:t xml:space="preserve">DÍA UNO</w:t>
      </w:r>
      <w:r>
        <w:rPr>
          <w:color w:val="6A767B"/>
          <w:spacing w:val="40"/>
          <w:sz w:val="14"/>
          <w:szCs w:val="14"/>
        </w:rPr>
        <w:t xml:space="preserve">   ·   SISTEMA OPERATIVO HÍBRIDO</w:t>
      </w:r>
    </w:p>
    <w:p>
      <w:pPr>
        <w:pBdr>
          <w:bottom w:val="single" w:color="0C6F7F" w:sz="6" w:space="2"/>
        </w:pBdr>
        <w:spacing w:after="160"/>
      </w:pPr>
    </w:p>
    <w:p>
      <w:pPr>
        <w:spacing w:after="40" w:before="40"/>
      </w:pPr>
      <w:r>
        <w:rPr>
          <w:b/>
          <w:bCs/>
          <w:color w:val="0C6F7F"/>
          <w:spacing w:val="30"/>
          <w:sz w:val="14"/>
          <w:szCs w:val="14"/>
        </w:rPr>
        <w:t xml:space="preserve">PILAR RUMBO · SUB-HERRAMIENTA 1 · TEORÍA</w:t>
      </w:r>
    </w:p>
    <w:p>
      <w:pPr>
        <w:spacing w:after="80"/>
      </w:pPr>
      <w:r>
        <w:rPr>
          <w:b/>
          <w:bCs/>
          <w:color w:val="05070A"/>
          <w:sz w:val="34"/>
          <w:szCs w:val="34"/>
        </w:rPr>
        <w:t xml:space="preserve">Propósito y Meta</w:t>
      </w:r>
    </w:p>
    <w:p>
      <w:pPr>
        <w:spacing w:after="60" w:line="280"/>
      </w:pPr>
      <w:r>
        <w:rPr>
          <w:i/>
          <w:iCs/>
          <w:color w:val="6A767B"/>
          <w:sz w:val="20"/>
          <w:szCs w:val="20"/>
        </w:rPr>
        <w:t xml:space="preserve">Por qué existe la empresa, a dónde va y qué foto queremos ver dentro de tres años. La primera pieza del documento madre: la que enmarca todas las demás.</w:t>
      </w:r>
    </w:p>
    <w:tbl>
      <w:tblPr>
        <w:tblW w:type="dxa" w:w="9026"/>
        <w:tblBorders>
          <w:top w:val="none"/>
          <w:left w:val="single" w:color="0C6F7F" w:sz="18"/>
          <w:bottom w:val="none"/>
          <w:right w:val="none"/>
          <w:insideH w:val="none"/>
          <w:insideV w:val="none"/>
        </w:tblBorders>
      </w:tblPr>
      <w:tblGrid>
        <w:gridCol w:w="9026"/>
      </w:tblGrid>
      <w:tr>
        <w:tc>
          <w:tcPr>
            <w:tcW w:type="dxa" w:w="9026"/>
            <w:shd w:fill="EEF4F4" w:color="auto" w:val="clear"/>
            <w:tcMar>
              <w:top w:type="dxa" w:w="130"/>
              <w:left w:type="dxa" w:w="200"/>
              <w:bottom w:type="dxa" w:w="130"/>
              <w:right w:type="dxa" w:w="160"/>
            </w:tcMar>
          </w:tcPr>
          <w:p>
            <w:pPr>
              <w:spacing w:line="284"/>
            </w:pPr>
            <w:r>
              <w:rPr>
                <w:b/>
                <w:bCs/>
                <w:color w:val="05070A"/>
                <w:sz w:val="19"/>
                <w:szCs w:val="19"/>
              </w:rPr>
              <w:t xml:space="preserve">Qué vas a poder hacer al terminar. </w:t>
            </w:r>
            <w:r>
              <w:rPr>
                <w:color w:val="3A4348"/>
                <w:sz w:val="19"/>
                <w:szCs w:val="19"/>
              </w:rPr>
              <w:t xml:space="preserve">Escribir tres cosas que casi ninguna pyme tiene por escrito y que, juntas, ordenan todo lo demás: un propósito que explica por qué la empresa merece existir, una meta lejana que ilusiona, y una foto a tres años lo bastante concreta como para saber, cada trimestre, si te estás acercando o alejando de ella.</w:t>
            </w:r>
          </w:p>
        </w:tc>
      </w:tr>
    </w:tbl>
    <w:p>
      <w:pPr>
        <w:spacing w:after="110" w:before="300"/>
      </w:pPr>
      <w:r>
        <w:rPr>
          <w:b/>
          <w:bCs/>
          <w:color w:val="0C6F7F"/>
          <w:spacing w:val="15"/>
          <w:sz w:val="21"/>
          <w:szCs w:val="21"/>
        </w:rPr>
        <w:t xml:space="preserve">1 · Qué es</w:t>
      </w:r>
    </w:p>
    <w:p>
      <w:pPr>
        <w:spacing w:after="120" w:line="288"/>
      </w:pPr>
      <w:r>
        <w:rPr>
          <w:i w:val="false"/>
          <w:iCs w:val="false"/>
          <w:color w:val="3A4348"/>
          <w:sz w:val="20"/>
          <w:szCs w:val="20"/>
        </w:rPr>
        <w:t xml:space="preserve">Esta herramienta reúne tres capas de una misma idea —a dónde vamos— ordenadas de lo más abstracto a lo más concreto. El propósito responde a por qué existimos más allá de ganar dinero. La meta lejana (a diez o más años) es el gran destino que ilusiona. Y la meta a tres años —lo que en DÍA UNO llamamos La Frontera— es la foto concreta y medible de cómo será la empresa en ese plazo. Las tres viven juntas porque una sin las otras cojea: un propósito sin meta es filosofía, y una meta sin propósito es un número frío que nadie defiende un lunes por la mañana.</w:t>
      </w:r>
    </w:p>
    <w:p>
      <w:pPr>
        <w:spacing w:after="120" w:line="288"/>
      </w:pPr>
      <w:r>
        <w:rPr>
          <w:b/>
          <w:bCs/>
          <w:color w:val="05070A"/>
          <w:sz w:val="20"/>
          <w:szCs w:val="20"/>
        </w:rPr>
        <w:t xml:space="preserve">Qué no es. </w:t>
      </w:r>
      <w:r>
        <w:rPr>
          <w:color w:val="3A4348"/>
          <w:sz w:val="20"/>
          <w:szCs w:val="20"/>
        </w:rPr>
        <w:t xml:space="preserve">No es un eslogan de marketing ni una frase para la web. El propósito y la meta son herramientas de decisión internas: existen para que, cuando aparezca una oportunidad o una duda, la empresa tenga contra qué contrastarla. Si no cambian ninguna decisión, están mal escritas.</w:t>
      </w:r>
    </w:p>
    <w:p>
      <w:pPr>
        <w:spacing w:after="110" w:before="300"/>
      </w:pPr>
      <w:r>
        <w:rPr>
          <w:b/>
          <w:bCs/>
          <w:color w:val="0C6F7F"/>
          <w:spacing w:val="15"/>
          <w:sz w:val="21"/>
          <w:szCs w:val="21"/>
        </w:rPr>
        <w:t xml:space="preserve">2 · Para qué sirve</w:t>
      </w:r>
    </w:p>
    <w:p>
      <w:pPr>
        <w:spacing w:after="120" w:line="288"/>
      </w:pPr>
      <w:r>
        <w:rPr>
          <w:i w:val="false"/>
          <w:iCs w:val="false"/>
          <w:color w:val="3A4348"/>
          <w:sz w:val="20"/>
          <w:szCs w:val="20"/>
        </w:rPr>
        <w:t xml:space="preserve">Sirve para convertir el «ya veremos» en un criterio. Una empresa sin meta escrita decide por impulso: coge el cliente que llama, lanza el producto que se le ocurre a alguien, contrata cuando aprieta. Todo parece razonable en el momento, pero al cabo de dos años la empresa es un mosaico de decisiones sueltas que no llevan a ningún sitio en particular. Con una meta a tres años clara, en cambio, cada decisión grande tiene una pregunta que la ordena: ¿esto me acerca a La Frontera o me distrae de ella?</w:t>
      </w:r>
    </w:p>
    <w:p>
      <w:pPr>
        <w:spacing w:after="120" w:line="288"/>
      </w:pPr>
      <w:r>
        <w:rPr>
          <w:i w:val="false"/>
          <w:iCs w:val="false"/>
          <w:color w:val="3A4348"/>
          <w:sz w:val="20"/>
          <w:szCs w:val="20"/>
        </w:rPr>
        <w:t xml:space="preserve">Y sirve, sobre todo, para alinear a quienes mandan. La mayoría de los conflictos profundos entre socios no son sobre el día a día: son sobre a dónde va esto, y casi nunca se han hablado en voz alta. Poner el propósito y la meta por escrito obliga a esa conversación. A veces destapa que dos fundadores querían cosas distintas — y es mejor descubrirlo en una pizarra que en un divorcio societario tres años después.</w:t>
      </w:r>
    </w:p>
    <w:p>
      <w:pPr>
        <w:spacing w:after="110" w:before="300"/>
      </w:pPr>
      <w:r>
        <w:rPr>
          <w:b/>
          <w:bCs/>
          <w:color w:val="0C6F7F"/>
          <w:spacing w:val="15"/>
          <w:sz w:val="21"/>
          <w:szCs w:val="21"/>
        </w:rPr>
        <w:t xml:space="preserve">3 · Cómo funciona</w:t>
      </w:r>
    </w:p>
    <w:p>
      <w:pPr>
        <w:spacing w:after="55" w:before="170"/>
      </w:pPr>
      <w:r>
        <w:rPr>
          <w:b/>
          <w:bCs/>
          <w:color w:val="05070A"/>
          <w:sz w:val="18"/>
          <w:szCs w:val="18"/>
        </w:rPr>
        <w:t xml:space="preserve">El propósito: se descubre, no se inventa</w:t>
      </w:r>
    </w:p>
    <w:p>
      <w:pPr>
        <w:spacing w:after="120" w:line="288"/>
      </w:pPr>
      <w:r>
        <w:rPr>
          <w:i w:val="false"/>
          <w:iCs w:val="false"/>
          <w:color w:val="3A4348"/>
          <w:sz w:val="20"/>
          <w:szCs w:val="20"/>
        </w:rPr>
        <w:t xml:space="preserve">Jim Collins, en su investigación sobre empresas que duran, insiste en una idea incómoda para quien quiere una frase lucida: el propósito no se crea en una sala, se descubre. Ya está ahí, en por qué la gente buena de tu empresa se levanta a trabajar en esto y no en otra cosa. El trabajo no es redactar algo que suene bien, sino encontrar lo que ya es verdad y decirlo con palabras sencillas. Un buen propósito supera una prueba dura: seguiría siendo verdad aunque la empresa cambiara por completo de producto.</w:t>
      </w:r>
    </w:p>
    <w:p>
      <w:pPr>
        <w:spacing w:after="55" w:before="170"/>
      </w:pPr>
      <w:r>
        <w:rPr>
          <w:b/>
          <w:bCs/>
          <w:color w:val="05070A"/>
          <w:sz w:val="18"/>
          <w:szCs w:val="18"/>
        </w:rPr>
        <w:t xml:space="preserve">La meta lejana: el BHAG</w:t>
      </w:r>
    </w:p>
    <w:p>
      <w:pPr>
        <w:spacing w:after="120" w:line="288"/>
      </w:pPr>
      <w:r>
        <w:rPr>
          <w:i w:val="false"/>
          <w:iCs w:val="false"/>
          <w:color w:val="3A4348"/>
          <w:sz w:val="20"/>
          <w:szCs w:val="20"/>
        </w:rPr>
        <w:t xml:space="preserve">Para la meta a largo plazo, Collins acuñó el término BHAG (Big Hairy Audacious Goal): una meta grande, ambiciosa y con un horizonte de diez a veinticinco años, tan alta que el propio equipo que la fija probablemente no la termine. No es una previsión: es una tensión emocional. El clásico es el «un hombre en la Luna antes del fin de la década» de la NASA; en empresa, el «ser la compañía más centrada en el cliente de la Tierra» de Amazon. Un BHAG bien puesto hace que a la gente le brillen los ojos cada vez que se menciona; si no produce esa chispa, es un objetivo, no un BHAG.</w:t>
      </w:r>
    </w:p>
    <w:tbl>
      <w:tblPr>
        <w:tblW w:type="dxa" w:w="9026"/>
        <w:tblBorders>
          <w:top w:val="none"/>
          <w:left w:val="single" w:color="0C6F7F" w:sz="18"/>
          <w:bottom w:val="none"/>
          <w:right w:val="none"/>
          <w:insideH w:val="none"/>
          <w:insideV w:val="none"/>
        </w:tblBorders>
      </w:tblPr>
      <w:tblGrid>
        <w:gridCol w:w="9026"/>
      </w:tblGrid>
      <w:tr>
        <w:tc>
          <w:tcPr>
            <w:tcW w:type="dxa" w:w="9026"/>
            <w:shd w:fill="EEF4F4" w:color="auto" w:val="clear"/>
            <w:tcMar>
              <w:top w:type="dxa" w:w="130"/>
              <w:left w:type="dxa" w:w="200"/>
              <w:bottom w:type="dxa" w:w="130"/>
              <w:right w:type="dxa" w:w="160"/>
            </w:tcMar>
          </w:tcPr>
          <w:p>
            <w:pPr>
              <w:spacing w:line="284"/>
            </w:pPr>
            <w:r>
              <w:rPr>
                <w:b/>
                <w:bCs/>
                <w:color w:val="05070A"/>
                <w:sz w:val="19"/>
                <w:szCs w:val="19"/>
              </w:rPr>
              <w:t xml:space="preserve">La herramienta para encontrarlo: el concepto del erizo. </w:t>
            </w:r>
            <w:r>
              <w:rPr>
                <w:color w:val="3A4348"/>
                <w:sz w:val="19"/>
                <w:szCs w:val="19"/>
              </w:rPr>
              <w:t xml:space="preserve">Collins propone buscar el propósito y la meta en la intersección de tres círculos: en qué podéis ser los mejores del mundo (o de vuestro rincón del mundo), qué os apasiona de verdad, y qué mueve vuestro motor económico (de dónde sale el dinero). Lo que cae en el centro de los tres es sólido; lo que cae fuera, por atractivo que suene, os desenfocará.</w:t>
            </w:r>
          </w:p>
        </w:tc>
      </w:tr>
    </w:tbl>
    <w:p>
      <w:pPr>
        <w:spacing w:after="55" w:before="170"/>
      </w:pPr>
      <w:r>
        <w:rPr>
          <w:b/>
          <w:bCs/>
          <w:color w:val="05070A"/>
          <w:sz w:val="18"/>
          <w:szCs w:val="18"/>
        </w:rPr>
        <w:t xml:space="preserve">La meta a tres años: La Frontera</w:t>
      </w:r>
    </w:p>
    <w:p>
      <w:pPr>
        <w:spacing w:after="120" w:line="288"/>
      </w:pPr>
      <w:r>
        <w:rPr>
          <w:i w:val="false"/>
          <w:iCs w:val="false"/>
          <w:color w:val="3A4348"/>
          <w:sz w:val="20"/>
          <w:szCs w:val="20"/>
        </w:rPr>
        <w:t xml:space="preserve">Aquí es donde DÍA UNO baja de las nubes. El BHAG ilusiona pero no se puede gestionar; la meta a tres años sí. La Frontera es una foto —no una lista de deseos— de cómo será la empresa dentro de tres años: cuánto factura, cuánta gente es, qué hace y qué no hace, cómo se siente trabajar ahí. Tanto EOS (con su «3-Year Picture») como Scaling Up (con sus objetivos a 3-5 años) insisten en lo mismo: tiene que ser lo bastante concreta como para que dos personas del equipo, al leerla, imaginen la misma escena. Una meta a tres años que no se puede visualizar no sirve para decidir.</w:t>
      </w:r>
    </w:p>
    <w:p>
      <w:pPr>
        <w:spacing w:after="120" w:line="288"/>
      </w:pPr>
      <w:r>
        <w:rPr>
          <w:i w:val="false"/>
          <w:iCs w:val="false"/>
          <w:color w:val="3A4348"/>
          <w:sz w:val="20"/>
          <w:szCs w:val="20"/>
        </w:rPr>
        <w:t xml:space="preserve">La regla práctica es ponerle números y presente. Números, porque «crecer mucho» no es una meta y «facturar 4 millones con un equipo de 25 y tres líneas de servicio» sí lo es. Presente, porque la foto se escribe como si ya hubiera ocurrido —«somos», «tenemos», «hacemos»—, que es como el cerebro la convierte en algo real y no en un buen propósito de año nuevo.</w:t>
      </w:r>
    </w:p>
    <w:p>
      <w:pPr>
        <w:spacing w:after="110" w:before="300"/>
      </w:pPr>
      <w:r>
        <w:rPr>
          <w:b/>
          <w:bCs/>
          <w:color w:val="0C6F7F"/>
          <w:spacing w:val="15"/>
          <w:sz w:val="21"/>
          <w:szCs w:val="21"/>
        </w:rPr>
        <w:t xml:space="preserve">4 · Resultado e impacto</w:t>
      </w:r>
    </w:p>
    <w:p>
      <w:pPr>
        <w:pStyle w:val="ListParagraph"/>
        <w:numPr>
          <w:ilvl w:val="0"/>
          <w:numId w:val="2"/>
        </w:numPr>
        <w:spacing w:after="72" w:line="282"/>
      </w:pPr>
      <w:r>
        <w:rPr>
          <w:b/>
          <w:bCs/>
          <w:color w:val="05070A"/>
          <w:sz w:val="20"/>
          <w:szCs w:val="20"/>
        </w:rPr>
        <w:t xml:space="preserve">Si se hace bien: </w:t>
      </w:r>
      <w:r>
        <w:rPr>
          <w:color w:val="3A4348"/>
          <w:sz w:val="20"/>
          <w:szCs w:val="20"/>
        </w:rPr>
        <w:t xml:space="preserve">cada trimestre la empresa puede preguntarse honestamente si se ha acercado a La Frontera, y los hitos dejan de ser una lista de buenas intenciones para convertirse en pasos hacia una foto concreta. Las oportunidades que no acercan a la meta se rechazan sin culpa.</w:t>
      </w:r>
    </w:p>
    <w:p>
      <w:pPr>
        <w:pStyle w:val="ListParagraph"/>
        <w:numPr>
          <w:ilvl w:val="0"/>
          <w:numId w:val="2"/>
        </w:numPr>
        <w:spacing w:after="72" w:line="282"/>
      </w:pPr>
      <w:r>
        <w:rPr>
          <w:b/>
          <w:bCs/>
          <w:color w:val="05070A"/>
          <w:sz w:val="20"/>
          <w:szCs w:val="20"/>
        </w:rPr>
        <w:t xml:space="preserve">Si no se hace, o se hace mal: </w:t>
      </w:r>
      <w:r>
        <w:rPr>
          <w:color w:val="3A4348"/>
          <w:sz w:val="20"/>
          <w:szCs w:val="20"/>
        </w:rPr>
        <w:t xml:space="preserve">la empresa confunde actividad con avance. Se trabaja mucho, se factura, pero nadie sabe decir si el año ha acercado a algún sitio. Y las metas vagas («ser referentes», «crecer») se usan para justificar cualquier decisión, que es como no tener meta.</w:t>
      </w:r>
    </w:p>
    <w:p>
      <w:pPr>
        <w:spacing w:after="110" w:before="300"/>
      </w:pPr>
      <w:r>
        <w:rPr>
          <w:b/>
          <w:bCs/>
          <w:color w:val="0C6F7F"/>
          <w:spacing w:val="15"/>
          <w:sz w:val="21"/>
          <w:szCs w:val="21"/>
        </w:rPr>
        <w:t xml:space="preserve">5 · La madurez de esta pieza (1-10)</w:t>
      </w:r>
    </w:p>
    <w:tbl>
      <w:tblPr>
        <w:tblW w:type="dxa" w:w="9026"/>
        <w:tblBorders>
          <w:top w:val="single" w:color="D5DCDD" w:sz="4"/>
          <w:left w:val="single" w:color="D5DCDD" w:sz="4"/>
          <w:bottom w:val="single" w:color="D5DCDD" w:sz="4"/>
          <w:right w:val="single" w:color="D5DCDD" w:sz="4"/>
          <w:insideH w:val="single" w:color="D5DCDD" w:sz="4"/>
          <w:insideV w:val="single" w:color="D5DCDD" w:sz="4"/>
        </w:tblBorders>
      </w:tblPr>
      <w:tblGrid>
        <w:gridCol w:w="2100"/>
        <w:gridCol w:w="6926"/>
      </w:tblGrid>
      <w:tr>
        <w:trPr>
          <w:tblHeader/>
        </w:trPr>
        <w:tc>
          <w:tcPr>
            <w:tcW w:type="dxa" w:w="2100"/>
            <w:shd w:fill="0C6F7F" w:color="auto" w:val="clear"/>
            <w:tcMar>
              <w:top w:type="dxa" w:w="90"/>
              <w:left w:type="dxa" w:w="130"/>
              <w:bottom w:type="dxa" w:w="90"/>
              <w:right w:type="dxa" w:w="130"/>
            </w:tcMar>
          </w:tcPr>
          <w:p>
            <w:r>
              <w:rPr>
                <w:b/>
                <w:bCs/>
                <w:color w:val="FFFFFF"/>
                <w:sz w:val="16"/>
                <w:szCs w:val="16"/>
              </w:rPr>
              <w:t xml:space="preserve">Zona</w:t>
            </w:r>
          </w:p>
        </w:tc>
        <w:tc>
          <w:tcPr>
            <w:tcW w:type="dxa" w:w="6926"/>
            <w:shd w:fill="0C6F7F" w:color="auto" w:val="clear"/>
            <w:tcMar>
              <w:top w:type="dxa" w:w="90"/>
              <w:left w:type="dxa" w:w="130"/>
              <w:bottom w:type="dxa" w:w="90"/>
              <w:right w:type="dxa" w:w="130"/>
            </w:tcMar>
          </w:tcPr>
          <w:p>
            <w:r>
              <w:rPr>
                <w:b/>
                <w:bCs/>
                <w:color w:val="FFFFFF"/>
                <w:sz w:val="16"/>
                <w:szCs w:val="16"/>
              </w:rPr>
              <w:t xml:space="preserve">Cómo se ve</w:t>
            </w:r>
          </w:p>
        </w:tc>
      </w:tr>
      <w:tr>
        <w:tc>
          <w:tcPr>
            <w:tcW w:type="dxa" w:w="2100"/>
            <w:tcMar>
              <w:top w:type="dxa" w:w="90"/>
              <w:left w:type="dxa" w:w="130"/>
              <w:bottom w:type="dxa" w:w="90"/>
              <w:right w:type="dxa" w:w="130"/>
            </w:tcMar>
          </w:tcPr>
          <w:p>
            <w:pPr>
              <w:spacing w:line="264"/>
            </w:pPr>
            <w:r>
              <w:rPr>
                <w:b/>
                <w:bCs/>
                <w:color w:val="05070A"/>
                <w:sz w:val="16"/>
                <w:szCs w:val="16"/>
              </w:rPr>
              <w:t xml:space="preserve">1-2 · Inexistente</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No hay meta; si preguntas a dos socios a dónde van, dan respuestas distintas.</w:t>
            </w:r>
          </w:p>
        </w:tc>
      </w:tr>
      <w:tr>
        <w:tc>
          <w:tcPr>
            <w:tcW w:type="dxa" w:w="2100"/>
            <w:tcMar>
              <w:top w:type="dxa" w:w="90"/>
              <w:left w:type="dxa" w:w="130"/>
              <w:bottom w:type="dxa" w:w="90"/>
              <w:right w:type="dxa" w:w="130"/>
            </w:tcMar>
          </w:tcPr>
          <w:p>
            <w:pPr>
              <w:spacing w:line="264"/>
            </w:pPr>
            <w:r>
              <w:rPr>
                <w:b/>
                <w:bCs/>
                <w:color w:val="05070A"/>
                <w:sz w:val="16"/>
                <w:szCs w:val="16"/>
              </w:rPr>
              <w:t xml:space="preserve">3-4 · Tácito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Hay una idea compartida pero no escrita; se desdibuja en cuanto hay que decidir.</w:t>
            </w:r>
          </w:p>
        </w:tc>
      </w:tr>
      <w:tr>
        <w:tc>
          <w:tcPr>
            <w:tcW w:type="dxa" w:w="2100"/>
            <w:tcMar>
              <w:top w:type="dxa" w:w="90"/>
              <w:left w:type="dxa" w:w="130"/>
              <w:bottom w:type="dxa" w:w="90"/>
              <w:right w:type="dxa" w:w="130"/>
            </w:tcMar>
          </w:tcPr>
          <w:p>
            <w:pPr>
              <w:spacing w:line="264"/>
            </w:pPr>
            <w:r>
              <w:rPr>
                <w:b/>
                <w:bCs/>
                <w:color w:val="05070A"/>
                <w:sz w:val="16"/>
                <w:szCs w:val="16"/>
              </w:rPr>
              <w:t xml:space="preserve">5-6 · Documentado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Existe una meta escrita, pero es vaga o nadie la usa para decidir.</w:t>
            </w:r>
          </w:p>
        </w:tc>
      </w:tr>
      <w:tr>
        <w:tc>
          <w:tcPr>
            <w:tcW w:type="dxa" w:w="2100"/>
            <w:tcMar>
              <w:top w:type="dxa" w:w="90"/>
              <w:left w:type="dxa" w:w="130"/>
              <w:bottom w:type="dxa" w:w="90"/>
              <w:right w:type="dxa" w:w="130"/>
            </w:tcMar>
          </w:tcPr>
          <w:p>
            <w:pPr>
              <w:spacing w:line="264"/>
            </w:pPr>
            <w:r>
              <w:rPr>
                <w:b/>
                <w:bCs/>
                <w:color w:val="05070A"/>
                <w:sz w:val="16"/>
                <w:szCs w:val="16"/>
              </w:rPr>
              <w:t xml:space="preserve">7-8 · Operativo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La meta a 3 años es concreta y se usa: los hitos y las oportunidades se miden contra ella.</w:t>
            </w:r>
          </w:p>
        </w:tc>
      </w:tr>
      <w:tr>
        <w:tc>
          <w:tcPr>
            <w:tcW w:type="dxa" w:w="2100"/>
            <w:tcMar>
              <w:top w:type="dxa" w:w="90"/>
              <w:left w:type="dxa" w:w="130"/>
              <w:bottom w:type="dxa" w:w="90"/>
              <w:right w:type="dxa" w:w="130"/>
            </w:tcMar>
          </w:tcPr>
          <w:p>
            <w:pPr>
              <w:spacing w:line="264"/>
            </w:pPr>
            <w:r>
              <w:rPr>
                <w:b/>
                <w:bCs/>
                <w:color w:val="05070A"/>
                <w:sz w:val="16"/>
                <w:szCs w:val="16"/>
              </w:rPr>
              <w:t xml:space="preserve">9-10 · Optimizable por IA</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La meta está tan estructurada (números, hitos ligados) que un agente puede contrastar cada decisión contra ella.</w:t>
            </w:r>
          </w:p>
        </w:tc>
      </w:tr>
    </w:tbl>
    <w:p>
      <w:pPr>
        <w:spacing w:after="110" w:before="300"/>
      </w:pPr>
      <w:r>
        <w:rPr>
          <w:b/>
          <w:bCs/>
          <w:color w:val="0C6F7F"/>
          <w:spacing w:val="15"/>
          <w:sz w:val="21"/>
          <w:szCs w:val="21"/>
        </w:rPr>
        <w:t xml:space="preserve">6 · Entradas y salidas</w:t>
      </w:r>
    </w:p>
    <w:p>
      <w:pPr>
        <w:pStyle w:val="ListParagraph"/>
        <w:numPr>
          <w:ilvl w:val="0"/>
          <w:numId w:val="2"/>
        </w:numPr>
        <w:spacing w:after="72" w:line="282"/>
      </w:pPr>
      <w:r>
        <w:rPr>
          <w:b/>
          <w:bCs/>
          <w:color w:val="05070A"/>
          <w:sz w:val="20"/>
          <w:szCs w:val="20"/>
        </w:rPr>
        <w:t xml:space="preserve">De qué depende. </w:t>
      </w:r>
      <w:r>
        <w:rPr>
          <w:color w:val="3A4348"/>
          <w:sz w:val="20"/>
          <w:szCs w:val="20"/>
        </w:rPr>
        <w:t xml:space="preserve">De la dirección del CEO y de una lectura honesta del mercado. Es de las primeras piezas que se tocan; no espera a ninguna otra.</w:t>
      </w:r>
    </w:p>
    <w:p>
      <w:pPr>
        <w:pStyle w:val="ListParagraph"/>
        <w:numPr>
          <w:ilvl w:val="0"/>
          <w:numId w:val="2"/>
        </w:numPr>
        <w:spacing w:after="72" w:line="282"/>
      </w:pPr>
      <w:r>
        <w:rPr>
          <w:b/>
          <w:bCs/>
          <w:color w:val="05070A"/>
          <w:sz w:val="20"/>
          <w:szCs w:val="20"/>
        </w:rPr>
        <w:t xml:space="preserve">Qué alimenta. </w:t>
      </w:r>
      <w:r>
        <w:rPr>
          <w:color w:val="3A4348"/>
          <w:sz w:val="20"/>
          <w:szCs w:val="20"/>
        </w:rPr>
        <w:t xml:space="preserve">La meta a 3 años es la fuente directa de los Hitos (9): cada trimestre se saca de aquí. Y marca el nivel de ambición del Panel de indicadores (12): los North Stars tienen que ser coherentes con La Frontera.</w:t>
      </w:r>
    </w:p>
    <w:p>
      <w:pPr>
        <w:spacing w:after="110" w:before="300"/>
      </w:pPr>
      <w:r>
        <w:rPr>
          <w:b/>
          <w:bCs/>
          <w:color w:val="0C6F7F"/>
          <w:spacing w:val="15"/>
          <w:sz w:val="21"/>
          <w:szCs w:val="21"/>
        </w:rPr>
        <w:t xml:space="preserve">7 · Cómo se lleva al equipo</w:t>
      </w:r>
    </w:p>
    <w:p>
      <w:pPr>
        <w:spacing w:after="120" w:line="288"/>
      </w:pPr>
      <w:r>
        <w:rPr>
          <w:i w:val="false"/>
          <w:iCs w:val="false"/>
          <w:color w:val="3A4348"/>
          <w:sz w:val="20"/>
          <w:szCs w:val="20"/>
        </w:rPr>
        <w:t xml:space="preserve">El propósito y la meta se cuecen en la cúpula, pero solo sirven si el equipo los hace suyos. La forma de conseguirlo no es proyectar una diapositiva, sino contar la historia: de dónde viene la empresa, por qué esta meta y no otra, qué se descartó. La Frontera funciona especialmente bien como herramienta de equipo porque es una foto: se puede describir, se puede pegar en la pared, y cada trimestre se puede enseñar cuánto nos hemos acercado. Repetirla en cada reunión trimestral es lo que la convierte en lenguaje común en vez de en un documento archivado.</w:t>
      </w:r>
    </w:p>
    <w:p>
      <w:pPr>
        <w:spacing w:after="110" w:before="300"/>
      </w:pPr>
      <w:r>
        <w:rPr>
          <w:b/>
          <w:bCs/>
          <w:color w:val="0C6F7F"/>
          <w:spacing w:val="15"/>
          <w:sz w:val="21"/>
          <w:szCs w:val="21"/>
        </w:rPr>
        <w:t xml:space="preserve">8 · Cómo se rellena</w:t>
      </w:r>
    </w:p>
    <w:p>
      <w:pPr>
        <w:spacing w:after="120" w:line="288"/>
      </w:pPr>
      <w:r>
        <w:rPr>
          <w:i w:val="false"/>
          <w:iCs w:val="false"/>
          <w:color w:val="3A4348"/>
          <w:sz w:val="20"/>
          <w:szCs w:val="20"/>
        </w:rPr>
        <w:t xml:space="preserve">Trabajarás tres bloques, de lo abstracto a lo concreto. En cada uno, lo importante es cómo se llega a la respuesta, no en qué casilla se escribe.</w:t>
      </w:r>
    </w:p>
    <w:p>
      <w:pPr>
        <w:pStyle w:val="ListParagraph"/>
        <w:numPr>
          <w:ilvl w:val="0"/>
          <w:numId w:val="3"/>
        </w:numPr>
        <w:spacing w:after="92" w:line="282"/>
      </w:pPr>
      <w:r>
        <w:rPr>
          <w:b/>
          <w:bCs/>
          <w:color w:val="05070A"/>
          <w:sz w:val="20"/>
          <w:szCs w:val="20"/>
        </w:rPr>
        <w:t xml:space="preserve">El propósito. </w:t>
      </w:r>
      <w:r>
        <w:rPr>
          <w:color w:val="3A4348"/>
          <w:sz w:val="20"/>
          <w:szCs w:val="20"/>
        </w:rPr>
        <w:t xml:space="preserve">No lo redactes: descúbrelo. Pregunta al equipo por qué hacemos esto más allá del dinero, qué se perdería el mundo (o vuestros clientes) si la empresa cerrara. Escribe una frase corta y humana. Pásale la prueba de Collins: ¿seguiría siendo verdad aunque cambiarais de producto? Si no, es demasiado estrecho.</w:t>
      </w:r>
    </w:p>
    <w:p>
      <w:pPr>
        <w:pStyle w:val="ListParagraph"/>
        <w:numPr>
          <w:ilvl w:val="0"/>
          <w:numId w:val="3"/>
        </w:numPr>
        <w:spacing w:after="92" w:line="282"/>
      </w:pPr>
      <w:r>
        <w:rPr>
          <w:b/>
          <w:bCs/>
          <w:color w:val="05070A"/>
          <w:sz w:val="20"/>
          <w:szCs w:val="20"/>
        </w:rPr>
        <w:t xml:space="preserve">La meta lejana (BHAG). </w:t>
      </w:r>
      <w:r>
        <w:rPr>
          <w:color w:val="3A4348"/>
          <w:sz w:val="20"/>
          <w:szCs w:val="20"/>
        </w:rPr>
        <w:t xml:space="preserve">Usa el concepto del erizo: escribe en tres columnas en qué podéis ser los mejores, qué os apasiona y qué mueve vuestra caja. Busca lo que cae en las tres. Formula un destino a 10+ años que ilusione. Prueba de fuego: ¿brillan los ojos al decirlo? Si suena a plan, súbelo.</w:t>
      </w:r>
    </w:p>
    <w:p>
      <w:pPr>
        <w:pStyle w:val="ListParagraph"/>
        <w:numPr>
          <w:ilvl w:val="0"/>
          <w:numId w:val="3"/>
        </w:numPr>
        <w:spacing w:after="92" w:line="282"/>
      </w:pPr>
      <w:r>
        <w:rPr>
          <w:b/>
          <w:bCs/>
          <w:color w:val="05070A"/>
          <w:sz w:val="20"/>
          <w:szCs w:val="20"/>
        </w:rPr>
        <w:t xml:space="preserve">La Frontera (meta a 3 años). </w:t>
      </w:r>
      <w:r>
        <w:rPr>
          <w:color w:val="3A4348"/>
          <w:sz w:val="20"/>
          <w:szCs w:val="20"/>
        </w:rPr>
        <w:t xml:space="preserve">Escribe una foto en presente de la empresa dentro de tres años, con números (facturación, personas, líneas de negocio) y con textura (cómo se siente, qué hace y qué ya no hace). Prueba: dásela a dos personas del equipo por separado y pídeles que la describan; si imaginan escenas distintas, todavía es vaga.</w:t>
      </w:r>
    </w:p>
    <w:tbl>
      <w:tblPr>
        <w:tblW w:type="dxa" w:w="9026"/>
        <w:tblBorders>
          <w:top w:val="none"/>
          <w:left w:val="single" w:color="0C6F7F" w:sz="18"/>
          <w:bottom w:val="none"/>
          <w:right w:val="none"/>
          <w:insideH w:val="none"/>
          <w:insideV w:val="none"/>
        </w:tblBorders>
      </w:tblPr>
      <w:tblGrid>
        <w:gridCol w:w="9026"/>
      </w:tblGrid>
      <w:tr>
        <w:tc>
          <w:tcPr>
            <w:tcW w:type="dxa" w:w="9026"/>
            <w:shd w:fill="F3EEDC" w:color="auto" w:val="clear"/>
            <w:tcMar>
              <w:top w:type="dxa" w:w="130"/>
              <w:left w:type="dxa" w:w="200"/>
              <w:bottom w:type="dxa" w:w="130"/>
              <w:right w:type="dxa" w:w="160"/>
            </w:tcMar>
          </w:tcPr>
          <w:p>
            <w:pPr>
              <w:spacing w:line="284"/>
            </w:pPr>
            <w:r>
              <w:rPr>
                <w:b/>
                <w:bCs/>
                <w:color w:val="05070A"/>
                <w:sz w:val="19"/>
                <w:szCs w:val="19"/>
              </w:rPr>
              <w:t xml:space="preserve">La sesión. </w:t>
            </w:r>
            <w:r>
              <w:rPr>
                <w:color w:val="3A4348"/>
                <w:sz w:val="19"/>
                <w:szCs w:val="19"/>
              </w:rPr>
              <w:t xml:space="preserve">Este bloque se trabaja en una sesión con el equipo que de verdad decide (no toda la empresa): entre media jornada y una jornada. Se prepara con datos reales del negocio; se cierra cuando hay una Frontera escrita con números que todos los presentes firmarían. No se sale de la sala con «lo pulimos por email»: se sale con la foto.</w:t>
            </w:r>
          </w:p>
        </w:tc>
      </w:tr>
    </w:tbl>
    <w:p>
      <w:pPr>
        <w:spacing w:after="110" w:before="300"/>
      </w:pPr>
      <w:r>
        <w:rPr>
          <w:b/>
          <w:bCs/>
          <w:color w:val="0C6F7F"/>
          <w:spacing w:val="15"/>
          <w:sz w:val="21"/>
          <w:szCs w:val="21"/>
        </w:rPr>
        <w:t xml:space="preserve">9 · La forma agéntica</w:t>
      </w:r>
    </w:p>
    <w:p>
      <w:pPr>
        <w:spacing w:after="120" w:line="288"/>
      </w:pPr>
      <w:r>
        <w:rPr>
          <w:i w:val="false"/>
          <w:iCs w:val="false"/>
          <w:color w:val="3A4348"/>
          <w:sz w:val="20"/>
          <w:szCs w:val="20"/>
        </w:rPr>
        <w:t xml:space="preserve">Con la meta ya Operativa, un agente puede vigilar la coherencia: avisar cuando un hito trimestral propuesto no traza a La Frontera, recordar la meta cuando aparece una oportunidad que se sale del erizo, o preparar cada trimestre un resumen de cuánto se ha avanzado hacia la foto. El agente no decide la meta —eso es de las personas—; cuida que lo que se hace siga apuntando a ella.</w:t>
      </w:r>
    </w:p>
    <w:p>
      <w:pPr>
        <w:spacing w:after="110" w:before="300"/>
      </w:pPr>
      <w:r>
        <w:rPr>
          <w:b/>
          <w:bCs/>
          <w:color w:val="0C6F7F"/>
          <w:spacing w:val="15"/>
          <w:sz w:val="21"/>
          <w:szCs w:val="21"/>
        </w:rPr>
        <w:t xml:space="preserve">10 · El mínimo innegociable</w:t>
      </w:r>
    </w:p>
    <w:p>
      <w:pPr>
        <w:spacing w:after="120" w:line="288"/>
      </w:pPr>
      <w:r>
        <w:rPr>
          <w:i w:val="false"/>
          <w:iCs w:val="false"/>
          <w:color w:val="3A4348"/>
          <w:sz w:val="20"/>
          <w:szCs w:val="20"/>
        </w:rPr>
        <w:t xml:space="preserve">Una meta a tres años escrita, con al menos un número que la haga inequívoca, y compartida con quien decide. El propósito y el BHAG enriquecen y dan energía, pero si hay que elegir una sola cosa, es La Frontera: sin ella, los hitos no tienen contra qué medirse.</w:t>
      </w:r>
    </w:p>
    <w:p>
      <w:pPr>
        <w:spacing w:after="110" w:before="300"/>
      </w:pPr>
      <w:r>
        <w:rPr>
          <w:b/>
          <w:bCs/>
          <w:color w:val="0C6F7F"/>
          <w:spacing w:val="15"/>
          <w:sz w:val="21"/>
          <w:szCs w:val="21"/>
        </w:rPr>
        <w:t xml:space="preserve">11 · Dónde toma peso</w:t>
      </w:r>
    </w:p>
    <w:p>
      <w:pPr>
        <w:spacing w:after="120" w:line="288"/>
      </w:pPr>
      <w:r>
        <w:rPr>
          <w:i w:val="false"/>
          <w:iCs w:val="false"/>
          <w:color w:val="3A4348"/>
          <w:sz w:val="20"/>
          <w:szCs w:val="20"/>
        </w:rPr>
        <w:t xml:space="preserve">Esta pieza es crítica en empresas con varios socios o en punto de crecimiento, donde la ausencia de un destino común se paga caro. Pierde algo de peso en negocios de un solo dueño muy pequeños, donde la meta vive sin fricción en una sola cabeza — aunque incluso ahí, escribirla es lo que permite algún día delegar.</w:t>
      </w:r>
    </w:p>
    <w:p>
      <w:pPr>
        <w:pBdr>
          <w:top w:val="single" w:color="D5DCDD" w:sz="6" w:space="6"/>
        </w:pBdr>
        <w:spacing w:before="280"/>
      </w:pPr>
      <w:r>
        <w:rPr>
          <w:color w:val="6A767B"/>
          <w:sz w:val="14"/>
          <w:szCs w:val="14"/>
        </w:rPr>
        <w:t xml:space="preserve">DÍA UNO · Rumbo · 1 · Propósito y Meta · Teoría V2 · Fuentes: Collins (BHAG, erizo, propósito descubierto); EOS (3-Year Picture); Scaling Up (Purpose + BHAG).</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30"/>
      </w:pPr>
      <w:rPr>
        <w:color w:val="0C6F7F"/>
      </w:rPr>
    </w:lvl>
  </w:abstractNum>
  <w:abstractNum w:abstractNumId="3" w15:restartNumberingAfterBreak="0">
    <w:multiLevelType w:val="hybridMultilevel"/>
    <w:lvl w:ilvl="0" w15:tentative="1">
      <w:start w:val="1"/>
      <w:numFmt w:val="decimal"/>
      <w:lvlText w:val="%1."/>
      <w:lvlJc w:val="left"/>
      <w:pPr>
        <w:ind w:left="360" w:hanging="2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434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DÍA UNO</dc:creator>
  <cp:lastModifiedBy>Un-named</cp:lastModifiedBy>
  <cp:revision>1</cp:revision>
  <dcterms:created xsi:type="dcterms:W3CDTF">2026-08-08T07:38:26.541Z</dcterms:created>
  <dcterms:modified xsi:type="dcterms:W3CDTF">2026-08-08T07:38:26.541Z</dcterms:modified>
</cp:coreProperties>
</file>

<file path=docProps/custom.xml><?xml version="1.0" encoding="utf-8"?>
<Properties xmlns="http://schemas.openxmlformats.org/officeDocument/2006/custom-properties" xmlns:vt="http://schemas.openxmlformats.org/officeDocument/2006/docPropsVTypes"/>
</file>