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PERSONAS · HERRAMIENTA 04 · PLANTILLA</w:t>
      </w:r>
    </w:p>
    <w:p>
      <w:pPr>
        <w:spacing w:after="80"/>
      </w:pPr>
      <w:r>
        <w:rPr>
          <w:b/>
          <w:bCs/>
          <w:color w:val="05070A"/>
          <w:sz w:val="34"/>
          <w:szCs w:val="34"/>
        </w:rPr>
        <w:t xml:space="preserve">La matriz de decisiones — Plantilla</w:t>
      </w:r>
    </w:p>
    <w:p>
      <w:pPr>
        <w:spacing w:after="60" w:line="280"/>
      </w:pPr>
      <w:r>
        <w:rPr>
          <w:i/>
          <w:iCs/>
          <w:color w:val="6A767B"/>
          <w:sz w:val="20"/>
          <w:szCs w:val="20"/>
        </w:rPr>
        <w:t xml:space="preserve">Registro vivo de quién decide qué y hasta dónde. Propuesta de mínimos: empieza por las pocas decisiones que hoy frenan y ve acumulando. No intentes escribirlas todas.</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Cómo usarla. </w:t>
            </w:r>
            <w:r>
              <w:rPr>
                <w:color w:val="3A4348"/>
                <w:sz w:val="19"/>
                <w:szCs w:val="19"/>
              </w:rPr>
              <w:t xml:space="preserve">Una fila por decisión recurrente que hoy sea cuello de botella. Un único dueño por decisión. El campo del límite (hasta dónde decide sin escalar) es el que no puede faltar, y tiene que cuadrar con la ficha (03) y vivir también en la SOP (07) del proceso.</w:t>
            </w:r>
          </w:p>
        </w:tc>
      </w:tr>
    </w:tbl>
    <w:p>
      <w:pPr>
        <w:spacing w:after="110" w:before="300"/>
      </w:pPr>
      <w:r>
        <w:rPr>
          <w:b/>
          <w:bCs/>
          <w:color w:val="0C6F7F"/>
          <w:spacing w:val="15"/>
          <w:sz w:val="21"/>
          <w:szCs w:val="21"/>
        </w:rPr>
        <w:t xml:space="preserve">La matriz — innegociable el dueño y el límite</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1500"/>
        <w:gridCol w:w="1500"/>
        <w:gridCol w:w="1300"/>
        <w:gridCol w:w="1300"/>
        <w:gridCol w:w="13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Decisión</w:t>
            </w:r>
          </w:p>
        </w:tc>
        <w:tc>
          <w:tcPr>
            <w:tcW w:type="dxa" w:w="1500"/>
            <w:shd w:fill="0C6F7F" w:color="auto" w:val="clear"/>
            <w:tcMar>
              <w:top w:type="dxa" w:w="90"/>
              <w:left w:type="dxa" w:w="130"/>
              <w:bottom w:type="dxa" w:w="90"/>
              <w:right w:type="dxa" w:w="130"/>
            </w:tcMar>
          </w:tcPr>
          <w:p>
            <w:r>
              <w:rPr>
                <w:b/>
                <w:bCs/>
                <w:color w:val="FFFFFF"/>
                <w:sz w:val="16"/>
                <w:szCs w:val="16"/>
              </w:rPr>
              <w:t xml:space="preserve">Quién decide</w:t>
            </w:r>
          </w:p>
        </w:tc>
        <w:tc>
          <w:tcPr>
            <w:tcW w:type="dxa" w:w="1500"/>
            <w:shd w:fill="0C6F7F" w:color="auto" w:val="clear"/>
            <w:tcMar>
              <w:top w:type="dxa" w:w="90"/>
              <w:left w:type="dxa" w:w="130"/>
              <w:bottom w:type="dxa" w:w="90"/>
              <w:right w:type="dxa" w:w="130"/>
            </w:tcMar>
          </w:tcPr>
          <w:p>
            <w:r>
              <w:rPr>
                <w:b/>
                <w:bCs/>
                <w:color w:val="FFFFFF"/>
                <w:sz w:val="16"/>
                <w:szCs w:val="16"/>
              </w:rPr>
              <w:t xml:space="preserve">Propone / ejecuta</w:t>
            </w:r>
          </w:p>
        </w:tc>
        <w:tc>
          <w:tcPr>
            <w:tcW w:type="dxa" w:w="1300"/>
            <w:shd w:fill="0C6F7F" w:color="auto" w:val="clear"/>
            <w:tcMar>
              <w:top w:type="dxa" w:w="90"/>
              <w:left w:type="dxa" w:w="130"/>
              <w:bottom w:type="dxa" w:w="90"/>
              <w:right w:type="dxa" w:w="130"/>
            </w:tcMar>
          </w:tcPr>
          <w:p>
            <w:r>
              <w:rPr>
                <w:b/>
                <w:bCs/>
                <w:color w:val="FFFFFF"/>
                <w:sz w:val="16"/>
                <w:szCs w:val="16"/>
              </w:rPr>
              <w:t xml:space="preserve">Se consulta</w:t>
            </w:r>
          </w:p>
        </w:tc>
        <w:tc>
          <w:tcPr>
            <w:tcW w:type="dxa" w:w="1300"/>
            <w:shd w:fill="0C6F7F" w:color="auto" w:val="clear"/>
            <w:tcMar>
              <w:top w:type="dxa" w:w="90"/>
              <w:left w:type="dxa" w:w="130"/>
              <w:bottom w:type="dxa" w:w="90"/>
              <w:right w:type="dxa" w:w="130"/>
            </w:tcMar>
          </w:tcPr>
          <w:p>
            <w:r>
              <w:rPr>
                <w:b/>
                <w:bCs/>
                <w:color w:val="FFFFFF"/>
                <w:sz w:val="16"/>
                <w:szCs w:val="16"/>
              </w:rPr>
              <w:t xml:space="preserve">Se informa</w:t>
            </w:r>
          </w:p>
        </w:tc>
        <w:tc>
          <w:tcPr>
            <w:tcW w:type="dxa" w:w="1326"/>
            <w:shd w:fill="0C6F7F" w:color="auto" w:val="clear"/>
            <w:tcMar>
              <w:top w:type="dxa" w:w="90"/>
              <w:left w:type="dxa" w:w="130"/>
              <w:bottom w:type="dxa" w:w="90"/>
              <w:right w:type="dxa" w:w="130"/>
            </w:tcMar>
          </w:tcPr>
          <w:p>
            <w:r>
              <w:rPr>
                <w:b/>
                <w:bCs/>
                <w:color w:val="FFFFFF"/>
                <w:sz w:val="16"/>
                <w:szCs w:val="16"/>
              </w:rPr>
              <w:t xml:space="preserve">Límite y escala</w:t>
            </w:r>
          </w:p>
        </w:tc>
      </w:tr>
      <w:tr>
        <w:tc>
          <w:tcPr>
            <w:tcW w:type="dxa" w:w="21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26"/>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r>
      <w:tr>
        <w:tc>
          <w:tcPr>
            <w:tcW w:type="dxa" w:w="21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26"/>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r>
      <w:tr>
        <w:tc>
          <w:tcPr>
            <w:tcW w:type="dxa" w:w="21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26"/>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r>
      <w:tr>
        <w:tc>
          <w:tcPr>
            <w:tcW w:type="dxa" w:w="21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26"/>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r>
      <w:tr>
        <w:tc>
          <w:tcPr>
            <w:tcW w:type="dxa" w:w="21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26"/>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r>
      <w:tr>
        <w:tc>
          <w:tcPr>
            <w:tcW w:type="dxa" w:w="21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26"/>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r>
      <w:tr>
        <w:tc>
          <w:tcPr>
            <w:tcW w:type="dxa" w:w="21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26"/>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r>
      <w:tr>
        <w:tc>
          <w:tcPr>
            <w:tcW w:type="dxa" w:w="21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26"/>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r>
      <w:tr>
        <w:tc>
          <w:tcPr>
            <w:tcW w:type="dxa" w:w="21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26"/>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r>
      <w:tr>
        <w:tc>
          <w:tcPr>
            <w:tcW w:type="dxa" w:w="21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5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00"/>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c>
          <w:tcPr>
            <w:tcW w:type="dxa" w:w="1326"/>
            <w:tcMar>
              <w:top w:type="dxa" w:w="90"/>
              <w:left w:type="dxa" w:w="130"/>
              <w:bottom w:type="dxa" w:w="90"/>
              <w:right w:type="dxa" w:w="130"/>
            </w:tcMar>
          </w:tcPr>
          <w:p>
            <w:pPr>
              <w:spacing w:line="260"/>
            </w:pPr>
            <w:r>
              <w:rPr>
                <w:sz w:val="16"/>
                <w:szCs w:val="16"/>
              </w:rPr>
              <w:t xml:space="preserve"> </w:t>
            </w:r>
          </w:p>
          <w:p>
            <w:pPr>
              <w:spacing w:line="260"/>
            </w:pPr>
            <w:r>
              <w:rPr>
                <w:sz w:val="16"/>
                <w:szCs w:val="16"/>
              </w:rPr>
              <w:t xml:space="preserve"> </w:t>
            </w:r>
          </w:p>
        </w:tc>
      </w:tr>
    </w:tbl>
    <w:p>
      <w:pPr>
        <w:spacing w:after="110" w:before="300"/>
      </w:pPr>
      <w:r>
        <w:rPr>
          <w:b/>
          <w:bCs/>
          <w:color w:val="0C6F7F"/>
          <w:spacing w:val="15"/>
          <w:sz w:val="21"/>
          <w:szCs w:val="21"/>
        </w:rPr>
        <w:t xml:space="preserve">Tipos de límite (recordatorio)</w:t>
      </w:r>
    </w:p>
    <w:p>
      <w:pPr>
        <w:spacing w:after="90" w:line="270"/>
      </w:pPr>
      <w:r>
        <w:rPr>
          <w:i/>
          <w:iCs/>
          <w:color w:val="6A767B"/>
          <w:sz w:val="17"/>
          <w:szCs w:val="17"/>
        </w:rPr>
        <w:t xml:space="preserve">De cuantía (€) · de porcentaje (%) · de excepción (supuestos) · de alcance (mi área / afecta a otros) · de reversibilidad (reversible yo / irreversible escala).</w:t>
      </w:r>
    </w:p>
    <w:p>
      <w:pPr>
        <w:pBdr>
          <w:top w:val="single" w:color="D5DCDD" w:sz="6" w:space="6"/>
        </w:pBdr>
        <w:spacing w:before="280"/>
      </w:pPr>
      <w:r>
        <w:rPr>
          <w:color w:val="6A767B"/>
          <w:sz w:val="14"/>
          <w:szCs w:val="14"/>
        </w:rPr>
        <w:t xml:space="preserve">DÍA UNO · Personas · 04 · La matriz de decisiones · Plantilla V2 · Mínimo: dueño único + límite, coherente con ficha (03) y SOP (07). Registro vivo: se acumula.</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2026-08-09T06:45:54.089Z</dcterms:created>
  <dcterms:modified xsi:type="dcterms:W3CDTF">2026-08-09T06:45:54.089Z</dcterms:modified>
</cp:coreProperties>
</file>

<file path=docProps/custom.xml><?xml version="1.0" encoding="utf-8"?>
<Properties xmlns="http://schemas.openxmlformats.org/officeDocument/2006/custom-properties" xmlns:vt="http://schemas.openxmlformats.org/officeDocument/2006/docPropsVTypes"/>
</file>