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PROCESOS · HERRAMIENTA 06 · TEORÍA</w:t>
      </w:r>
    </w:p>
    <w:p>
      <w:pPr>
        <w:spacing w:after="80"/>
      </w:pPr>
      <w:r>
        <w:rPr>
          <w:b/>
          <w:bCs/>
          <w:color w:val="05070A"/>
          <w:sz w:val="34"/>
          <w:szCs w:val="34"/>
        </w:rPr>
        <w:t xml:space="preserve">El mapa de procesos</w:t>
      </w:r>
    </w:p>
    <w:p>
      <w:pPr>
        <w:spacing w:after="60" w:line="280"/>
      </w:pPr>
      <w:r>
        <w:rPr>
          <w:i/>
          <w:iCs/>
          <w:color w:val="6A767B"/>
          <w:sz w:val="20"/>
          <w:szCs w:val="20"/>
        </w:rPr>
        <w:t xml:space="preserve">Las pocas cajas grandes que explican cómo funciona el negocio de punta a punta, y —sobre todo— dónde el trabajo cambia de manos y se rompe. La llave del pilar de Procesos: primero se ve el todo, después se documenta cada parte.</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Dibujar tu empresa como lo que de verdad es —un flujo que va desde que aparece un cliente hasta que el dinero entra— en cinco o seis grandes procesos, no en un organigrama. Verás por dónde viaja el trabajo, en qué puntos pasa de una persona o un departamento a otro (que es donde casi siempre se cae) y cuáles son los procesos que mueven el dinero y merecen documentarse primero.</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El mapa de procesos es la vista de pájaro del negocio: las pocas grandes cajas que representan cómo la empresa convierte una necesidad de un cliente en un servicio entregado y cobrado, y cómo se conectan entre sí. La palabra clave es «pocas». No es un diagrama exhaustivo de todo lo que se hace —eso sería inabarcable e inútil—, sino el nivel más alto de zoom: cuatro, cinco o seis procesos que cualquiera pueda mirar y entender de un vistazo cómo se mueve el trabajo por la empresa.</w:t>
      </w:r>
    </w:p>
    <w:p>
      <w:pPr>
        <w:spacing w:after="120" w:line="288"/>
      </w:pPr>
      <w:r>
        <w:rPr>
          <w:i w:val="false"/>
          <w:iCs w:val="false"/>
          <w:color w:val="3A4348"/>
          <w:sz w:val="20"/>
          <w:szCs w:val="20"/>
        </w:rPr>
        <w:t xml:space="preserve">Aquí conviene fijar desde el principio una distinción que confunde a casi toda pyme que intenta «documentar la empresa»: la diferencia entre el mapa y el procedimiento. El mapa vive en lo alto y responde a qué pasa y en qué orden; el procedimiento —la SOP (07)— vive abajo y responde a cómo se ejecuta cada paso, con su detalle. El macroproceso es la caja «Cobrar»; la SOP es el documento que explica, paso a paso, cómo se emite una factura en el sistema. Los dos hacen falta, pero son cosas distintas y a niveles distintos, y el orden es sagrado: primero el mapa, para entender el todo; después las SOPs, para ejecutar cada parte. Empezar por las SOPs sin mapa es escribir instrucciones sueltas que no tienen un lugar en el conjunto.</w:t>
      </w:r>
    </w:p>
    <w:p>
      <w:pPr>
        <w:spacing w:after="120" w:line="288"/>
      </w:pPr>
      <w:r>
        <w:rPr>
          <w:b/>
          <w:bCs/>
          <w:color w:val="05070A"/>
          <w:sz w:val="20"/>
          <w:szCs w:val="20"/>
        </w:rPr>
        <w:t xml:space="preserve">Qué no es. </w:t>
      </w:r>
      <w:r>
        <w:rPr>
          <w:color w:val="3A4348"/>
          <w:sz w:val="20"/>
          <w:szCs w:val="20"/>
        </w:rPr>
        <w:t xml:space="preserve">No es el organigrama. El organigrama dibuja cómo se organiza la empresa —por funciones, en vertical—; el mapa de procesos dibuja cómo fluye el trabajo —de punta a punta, en horizontal—. Y esa diferencia es justo lo que lo hace valioso, como vamos a ver: porque el trabajo cruza las cajas del organigrama, y es en esos cruces donde se rompe.</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en primer lugar, para ver un problema que casi ninguna empresa ve porque lo tiene delante. Las empresas se organizan en vertical, en departamentos —ventas, operaciones, administración—, pero el trabajo no fluye en vertical: fluye en horizontal, atravesando esos departamentos. Un cliente no lo atiende «un departamento»: lo atiende un flujo que pasa por ventas, luego por operaciones, luego por administración. Y en el hueco entre un departamento y el siguiente —lo que los expertos en procesos llaman el «espacio en blanco»— es donde el trabajo se cae: donde nadie recoge lo que el otro soltó, donde se pierde la información, donde el cliente espera sin que nadie sepa por qué. El mapa de procesos es lo que hace visibles esos huecos.</w:t>
      </w:r>
    </w:p>
    <w:p>
      <w:pPr>
        <w:spacing w:after="120" w:line="288"/>
      </w:pPr>
      <w:r>
        <w:rPr>
          <w:i w:val="false"/>
          <w:iCs w:val="false"/>
          <w:color w:val="3A4348"/>
          <w:sz w:val="20"/>
          <w:szCs w:val="20"/>
        </w:rPr>
        <w:t xml:space="preserve">Sirve, en segundo lugar, para dejar de depender de que la gente «ya sabe cómo van las cosas». Mientras el funcionamiento del negocio vive solo en la cabeza de los veteranos, cada baja, cada incorporación y cada pico de trabajo es una pequeña crisis. El mapa saca ese conocimiento a un dibujo que cualquiera puede leer, y con ello se convierte en la base sobre la que se apoya todo el pilar de Procesos: de cada caja del mapa cuelgan sus SOPs, sus indicadores y las decisiones que la gobiernan. Sin mapa, esas herramientas no tienen a qué agarrarse.</w:t>
      </w:r>
    </w:p>
    <w:p>
      <w:pPr>
        <w:spacing w:after="120" w:line="288"/>
      </w:pPr>
      <w:r>
        <w:rPr>
          <w:i w:val="false"/>
          <w:iCs w:val="false"/>
          <w:color w:val="3A4348"/>
          <w:sz w:val="20"/>
          <w:szCs w:val="20"/>
        </w:rPr>
        <w:t xml:space="preserve">Y sirve, en tercer lugar, para decidir por dónde empezar a ordenar. Ninguna empresa puede documentarlo todo a la vez; el mapa permite ver cuáles son los procesos que mueven el dinero y cuáles los que se rompen, que son exactamente los que hay que atacar primero.</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El negocio es un flujo horizontal: sigue el dinero</w:t>
      </w:r>
    </w:p>
    <w:p>
      <w:pPr>
        <w:spacing w:after="120" w:line="288"/>
      </w:pPr>
      <w:r>
        <w:rPr>
          <w:i w:val="false"/>
          <w:iCs w:val="false"/>
          <w:color w:val="3A4348"/>
          <w:sz w:val="20"/>
          <w:szCs w:val="20"/>
        </w:rPr>
        <w:t xml:space="preserve">La forma más rápida de encontrar el corazón de un negocio es trazar el flujo que va desde que aparece un cliente hasta que el dinero entra en la cuenta. Ese recorrido tiene nombres estándar en la literatura de gestión según dónde empiece: «order-to-cash» si arranca en el pedido, «quote-to-cash» si arranca en la propuesta, «lead-to-cash» si arranca en la captación del interés. Para una empresa de servicios, que casi siempre empieza por una oferta, el flujo natural es de la captación al cobro. Dibujar ese flujo y marcar dónde cambia de manos revela, casi solo, cuáles son los grandes procesos del negocio.</w:t>
      </w:r>
    </w:p>
    <w:p>
      <w:pPr>
        <w:spacing w:after="120" w:line="288"/>
      </w:pPr>
      <w:r>
        <w:rPr>
          <w:i w:val="false"/>
          <w:iCs w:val="false"/>
          <w:color w:val="3A4348"/>
          <w:sz w:val="20"/>
          <w:szCs w:val="20"/>
        </w:rPr>
        <w:t xml:space="preserve">¿Cuántos son? Aquí la experiencia acumulada por los sistemas operativos es tranquilizadora: casi cualquier empresa, grande o pequeña, funciona con un puñado de procesos principales —del orden de seis a diez—, que suelen ser variantes de captar, vender, entregar el servicio, cobrar, cuidar a las personas y fidelizar al cliente. Si al dibujar el mapa te salen veinte cajas en el primer nivel, no es que tu empresa sea excepcional: es que estás mezclando niveles de zoom, metiendo tareas donde deberían ir procesos. La disciplina es agrupar hasta que queden pocas cajas grandes.</w:t>
      </w:r>
    </w:p>
    <w:p>
      <w:pPr>
        <w:spacing w:after="55" w:before="170"/>
      </w:pPr>
      <w:r>
        <w:rPr>
          <w:b/>
          <w:bCs/>
          <w:color w:val="05070A"/>
          <w:sz w:val="18"/>
          <w:szCs w:val="18"/>
        </w:rPr>
        <w:t xml:space="preserve">Las tres familias: qué crea valor, qué decide, qué habilita</w:t>
      </w:r>
    </w:p>
    <w:p>
      <w:pPr>
        <w:spacing w:after="120" w:line="288"/>
      </w:pPr>
      <w:r>
        <w:rPr>
          <w:i w:val="false"/>
          <w:iCs w:val="false"/>
          <w:color w:val="3A4348"/>
          <w:sz w:val="20"/>
          <w:szCs w:val="20"/>
        </w:rPr>
        <w:t xml:space="preserve">No todos los procesos son iguales, y separarlos ayuda a saber dónde está el dinero. Hay tres familias, y aparecen tanto en la clásica cadena de valor de Michael Porter como en los marcos de referencia más usados del mundo (el de APQC, por ejemplo). Los procesos core u operativos son los que producen y entregan lo que el cliente paga: son la razón de existir de la empresa. Los procesos de gestión son los que planifican, deciden y controlan. Y los procesos de soporte son los que sostienen a los demás sin tocar al cliente final —personas, sistemas, administración—. En una empresa de servicios, «operaciones» no es una fábrica: es entregar el servicio, ejecutar el proyecto, prestar la consultoría. Distinguir las tres familias evita el error de tratar la contabilidad con la misma prioridad que la entrega del servicio.</w:t>
      </w:r>
    </w:p>
    <w:p>
      <w:pPr>
        <w:spacing w:after="55" w:before="170"/>
      </w:pPr>
      <w:r>
        <w:rPr>
          <w:b/>
          <w:bCs/>
          <w:color w:val="05070A"/>
          <w:sz w:val="18"/>
          <w:szCs w:val="18"/>
        </w:rPr>
        <w:t xml:space="preserve">Encuadrar cada proceso antes de dibujarlo: el SIPOC</w:t>
      </w:r>
    </w:p>
    <w:p>
      <w:pPr>
        <w:spacing w:after="120" w:line="288"/>
      </w:pPr>
      <w:r>
        <w:rPr>
          <w:i w:val="false"/>
          <w:iCs w:val="false"/>
          <w:color w:val="3A4348"/>
          <w:sz w:val="20"/>
          <w:szCs w:val="20"/>
        </w:rPr>
        <w:t xml:space="preserve">Antes de meterse a detallar un proceso conviene acotarlo: dónde empieza, dónde acaba, quién lo alimenta y quién recibe su resultado. La herramienta estándar para esto es el SIPOC, una tabla de cinco columnas —proveedores, entradas, proceso, salidas, clientes— que se rellena en una sola hoja y da una visión de conjunto sin bajar al detalle. La regla de oro: en la columna del proceso no deben caber más de cuatro o cinco pasos de alto nivel; si te salen quince, estás bajando de nivel demasiado pronto. El SIPOC es el marco del cuadro, no el plano de la casa.</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1600"/>
        <w:gridCol w:w="1700"/>
        <w:gridCol w:w="2500"/>
        <w:gridCol w:w="1600"/>
        <w:gridCol w:w="1626"/>
      </w:tblGrid>
      <w:tr>
        <w:trPr>
          <w:tblHeader/>
        </w:trPr>
        <w:tc>
          <w:tcPr>
            <w:tcW w:type="dxa" w:w="1600"/>
            <w:shd w:fill="0C6F7F" w:color="auto" w:val="clear"/>
            <w:tcMar>
              <w:top w:type="dxa" w:w="90"/>
              <w:left w:type="dxa" w:w="130"/>
              <w:bottom w:type="dxa" w:w="90"/>
              <w:right w:type="dxa" w:w="130"/>
            </w:tcMar>
          </w:tcPr>
          <w:p>
            <w:r>
              <w:rPr>
                <w:b/>
                <w:bCs/>
                <w:color w:val="FFFFFF"/>
                <w:sz w:val="16"/>
                <w:szCs w:val="16"/>
              </w:rPr>
              <w:t xml:space="preserve">Proveedores</w:t>
            </w:r>
          </w:p>
        </w:tc>
        <w:tc>
          <w:tcPr>
            <w:tcW w:type="dxa" w:w="1700"/>
            <w:shd w:fill="0C6F7F" w:color="auto" w:val="clear"/>
            <w:tcMar>
              <w:top w:type="dxa" w:w="90"/>
              <w:left w:type="dxa" w:w="130"/>
              <w:bottom w:type="dxa" w:w="90"/>
              <w:right w:type="dxa" w:w="130"/>
            </w:tcMar>
          </w:tcPr>
          <w:p>
            <w:r>
              <w:rPr>
                <w:b/>
                <w:bCs/>
                <w:color w:val="FFFFFF"/>
                <w:sz w:val="16"/>
                <w:szCs w:val="16"/>
              </w:rPr>
              <w:t xml:space="preserve">Entradas</w:t>
            </w:r>
          </w:p>
        </w:tc>
        <w:tc>
          <w:tcPr>
            <w:tcW w:type="dxa" w:w="2500"/>
            <w:shd w:fill="0C6F7F" w:color="auto" w:val="clear"/>
            <w:tcMar>
              <w:top w:type="dxa" w:w="90"/>
              <w:left w:type="dxa" w:w="130"/>
              <w:bottom w:type="dxa" w:w="90"/>
              <w:right w:type="dxa" w:w="130"/>
            </w:tcMar>
          </w:tcPr>
          <w:p>
            <w:r>
              <w:rPr>
                <w:b/>
                <w:bCs/>
                <w:color w:val="FFFFFF"/>
                <w:sz w:val="16"/>
                <w:szCs w:val="16"/>
              </w:rPr>
              <w:t xml:space="preserve">Proceso (4-6 pasos)</w:t>
            </w:r>
          </w:p>
        </w:tc>
        <w:tc>
          <w:tcPr>
            <w:tcW w:type="dxa" w:w="1600"/>
            <w:shd w:fill="0C6F7F" w:color="auto" w:val="clear"/>
            <w:tcMar>
              <w:top w:type="dxa" w:w="90"/>
              <w:left w:type="dxa" w:w="130"/>
              <w:bottom w:type="dxa" w:w="90"/>
              <w:right w:type="dxa" w:w="130"/>
            </w:tcMar>
          </w:tcPr>
          <w:p>
            <w:r>
              <w:rPr>
                <w:b/>
                <w:bCs/>
                <w:color w:val="FFFFFF"/>
                <w:sz w:val="16"/>
                <w:szCs w:val="16"/>
              </w:rPr>
              <w:t xml:space="preserve">Salidas</w:t>
            </w:r>
          </w:p>
        </w:tc>
        <w:tc>
          <w:tcPr>
            <w:tcW w:type="dxa" w:w="1626"/>
            <w:shd w:fill="0C6F7F" w:color="auto" w:val="clear"/>
            <w:tcMar>
              <w:top w:type="dxa" w:w="90"/>
              <w:left w:type="dxa" w:w="130"/>
              <w:bottom w:type="dxa" w:w="90"/>
              <w:right w:type="dxa" w:w="130"/>
            </w:tcMar>
          </w:tcPr>
          <w:p>
            <w:r>
              <w:rPr>
                <w:b/>
                <w:bCs/>
                <w:color w:val="FFFFFF"/>
                <w:sz w:val="16"/>
                <w:szCs w:val="16"/>
              </w:rPr>
              <w:t xml:space="preserve">Clientes</w:t>
            </w:r>
          </w:p>
        </w:tc>
      </w:tr>
      <w:tr>
        <w:tc>
          <w:tcPr>
            <w:tcW w:type="dxa" w:w="1600"/>
            <w:tcMar>
              <w:top w:type="dxa" w:w="90"/>
              <w:left w:type="dxa" w:w="130"/>
              <w:bottom w:type="dxa" w:w="90"/>
              <w:right w:type="dxa" w:w="130"/>
            </w:tcMar>
          </w:tcPr>
          <w:p>
            <w:pPr>
              <w:spacing w:line="264"/>
            </w:pPr>
            <w:r>
              <w:rPr>
                <w:b w:val="false"/>
                <w:bCs w:val="false"/>
                <w:color w:val="3A4348"/>
                <w:sz w:val="16"/>
                <w:szCs w:val="16"/>
              </w:rPr>
              <w:t xml:space="preserve">Ventas, cliente</w:t>
            </w:r>
          </w:p>
        </w:tc>
        <w:tc>
          <w:tcPr>
            <w:tcW w:type="dxa" w:w="1700"/>
            <w:tcMar>
              <w:top w:type="dxa" w:w="90"/>
              <w:left w:type="dxa" w:w="130"/>
              <w:bottom w:type="dxa" w:w="90"/>
              <w:right w:type="dxa" w:w="130"/>
            </w:tcMar>
          </w:tcPr>
          <w:p>
            <w:pPr>
              <w:spacing w:line="264"/>
            </w:pPr>
            <w:r>
              <w:rPr>
                <w:b w:val="false"/>
                <w:bCs w:val="false"/>
                <w:color w:val="3A4348"/>
                <w:sz w:val="16"/>
                <w:szCs w:val="16"/>
              </w:rPr>
              <w:t xml:space="preserve">Contrato, brief, accesos</w:t>
            </w:r>
          </w:p>
        </w:tc>
        <w:tc>
          <w:tcPr>
            <w:tcW w:type="dxa" w:w="2500"/>
            <w:tcMar>
              <w:top w:type="dxa" w:w="90"/>
              <w:left w:type="dxa" w:w="130"/>
              <w:bottom w:type="dxa" w:w="90"/>
              <w:right w:type="dxa" w:w="130"/>
            </w:tcMar>
          </w:tcPr>
          <w:p>
            <w:pPr>
              <w:spacing w:line="264"/>
            </w:pPr>
            <w:r>
              <w:rPr>
                <w:b w:val="false"/>
                <w:bCs w:val="false"/>
                <w:color w:val="3A4348"/>
                <w:sz w:val="16"/>
                <w:szCs w:val="16"/>
              </w:rPr>
              <w:t xml:space="preserve">Onboarding → ejecutar → revisar → entregar</w:t>
            </w:r>
          </w:p>
        </w:tc>
        <w:tc>
          <w:tcPr>
            <w:tcW w:type="dxa" w:w="1600"/>
            <w:tcMar>
              <w:top w:type="dxa" w:w="90"/>
              <w:left w:type="dxa" w:w="130"/>
              <w:bottom w:type="dxa" w:w="90"/>
              <w:right w:type="dxa" w:w="130"/>
            </w:tcMar>
          </w:tcPr>
          <w:p>
            <w:pPr>
              <w:spacing w:line="264"/>
            </w:pPr>
            <w:r>
              <w:rPr>
                <w:b w:val="false"/>
                <w:bCs w:val="false"/>
                <w:color w:val="3A4348"/>
                <w:sz w:val="16"/>
                <w:szCs w:val="16"/>
              </w:rPr>
              <w:t xml:space="preserve">Servicio aceptado</w:t>
            </w:r>
          </w:p>
        </w:tc>
        <w:tc>
          <w:tcPr>
            <w:tcW w:type="dxa" w:w="1626"/>
            <w:tcMar>
              <w:top w:type="dxa" w:w="90"/>
              <w:left w:type="dxa" w:w="130"/>
              <w:bottom w:type="dxa" w:w="90"/>
              <w:right w:type="dxa" w:w="130"/>
            </w:tcMar>
          </w:tcPr>
          <w:p>
            <w:pPr>
              <w:spacing w:line="264"/>
            </w:pPr>
            <w:r>
              <w:rPr>
                <w:b w:val="false"/>
                <w:bCs w:val="false"/>
                <w:color w:val="3A4348"/>
                <w:sz w:val="16"/>
                <w:szCs w:val="16"/>
              </w:rPr>
              <w:t xml:space="preserve">Cliente final</w:t>
            </w:r>
          </w:p>
        </w:tc>
      </w:tr>
    </w:tbl>
    <w:p>
      <w:pPr>
        <w:spacing w:after="55" w:before="170"/>
      </w:pPr>
      <w:r>
        <w:rPr>
          <w:b/>
          <w:bCs/>
          <w:color w:val="05070A"/>
          <w:sz w:val="18"/>
          <w:szCs w:val="18"/>
        </w:rPr>
        <w:t xml:space="preserve">Los nodos: dónde vive el riesgo de un proceso</w:t>
      </w:r>
    </w:p>
    <w:p>
      <w:pPr>
        <w:spacing w:after="120" w:line="288"/>
      </w:pPr>
      <w:r>
        <w:rPr>
          <w:i w:val="false"/>
          <w:iCs w:val="false"/>
          <w:color w:val="3A4348"/>
          <w:sz w:val="20"/>
          <w:szCs w:val="20"/>
        </w:rPr>
        <w:t xml:space="preserve">Todo proceso tiene tres tipos de punto que hay que mirar con lupa. El nodo de inicio: qué hecho concreto y observable lo dispara —«el cliente firma el contrato» es un disparador; «cuando toca» no lo es—. El nodo de fin: qué define «terminado» —un proceso sin criterio de cierre no se cierra nunca, se arrastra—. Y, sobre todo, los nodos donde la responsabilidad cambia de manos: los traspasos, o handoffs, el momento exacto en que el trabajo pasa de una persona a otra o de un departamento a otro. Esos son los puntos donde los procesos se rompen, y merecen una explicación aparte porque son el hallazgo más accionable de toda esta herramienta.</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El handoff: el punto donde muere el trabajo. </w:t>
            </w:r>
            <w:r>
              <w:rPr>
                <w:color w:val="3A4348"/>
                <w:sz w:val="19"/>
                <w:szCs w:val="19"/>
              </w:rPr>
              <w:t xml:space="preserve">Cuando el trabajo cruza de una mano a otra pasan tres cosas malas a la vez. La propiedad se evapora: el que entrega ya lo da por hecho, el que recibe todavía no ha empezado, y en ese limbo no responde nadie. La información se pierde: el contexto que vivía en la cabeza de quien entrega no viaja —el caso clásico es ventas que cierra un trato y operaciones que hereda los compromisos sin conocer las excepciones ni los matices—. Y los incentivos no ayudan, porque cada área mide su rendimiento vertical, no la calidad del traspaso. Por eso un proceso sano se reconoce en que tiene pocos traspasos y limpios; y por eso documentar un handoff significa dejar escrito qué se entrega exactamente, quién lo entrega y quién lo recibe, qué condiciones tiene que cumplir para aceptarse, y cómo se entera el receptor de que le toca.</w:t>
            </w:r>
          </w:p>
        </w:tc>
      </w:tr>
    </w:tbl>
    <w:p>
      <w:pPr>
        <w:spacing w:after="55" w:before="170"/>
      </w:pPr>
      <w:r>
        <w:rPr>
          <w:b/>
          <w:bCs/>
          <w:color w:val="05070A"/>
          <w:sz w:val="18"/>
          <w:szCs w:val="18"/>
        </w:rPr>
        <w:t xml:space="preserve">Las puertas de decisión: el enlace con la Matriz de decisiones</w:t>
      </w:r>
    </w:p>
    <w:p>
      <w:pPr>
        <w:spacing w:after="120" w:line="288"/>
      </w:pPr>
      <w:r>
        <w:rPr>
          <w:i w:val="false"/>
          <w:iCs w:val="false"/>
          <w:color w:val="3A4348"/>
          <w:sz w:val="20"/>
          <w:szCs w:val="20"/>
        </w:rPr>
        <w:t xml:space="preserve">En los grandes procesos hay puntos donde el flujo se detiene hasta que alguien decide algo: aprobar un presupuesto, aceptar un pedido especial, autorizar una excepción. Son las puertas de decisión, y se representan con un rombo y una pregunta cerrada («¿documentación completa?», «¿importe por encima del límite?»). Aquí aparece una de las causas silenciosas de fricción: una puerta de decisión dice que hay que decidir, pero no quién puede hacerlo. Por eso cada puerta importante del mapa tiene que enlazar con la Matriz de decisiones (04): quién decide, hasta qué límite, y a quién escala si se pasa. Cuando se mapea un proceso y aparece una decisión crítica, hay que asegurarse de que esa decisión está perfilada en la matriz; si no, el proceso se atascará ahí una y otra vez.</w:t>
      </w:r>
    </w:p>
    <w:p>
      <w:pPr>
        <w:spacing w:after="55" w:before="170"/>
      </w:pPr>
      <w:r>
        <w:rPr>
          <w:b/>
          <w:bCs/>
          <w:color w:val="05070A"/>
          <w:sz w:val="18"/>
          <w:szCs w:val="18"/>
        </w:rPr>
        <w:t xml:space="preserve">La lente Lean: el mapa hace visible la espera y el cuello de botella</w:t>
      </w:r>
    </w:p>
    <w:p>
      <w:pPr>
        <w:spacing w:after="120" w:line="288"/>
      </w:pPr>
      <w:r>
        <w:rPr>
          <w:i w:val="false"/>
          <w:iCs w:val="false"/>
          <w:color w:val="3A4348"/>
          <w:sz w:val="20"/>
          <w:szCs w:val="20"/>
        </w:rPr>
        <w:t xml:space="preserve">Mapear no es solo dibujar cajas; es ver dónde se pierde el tiempo. La disciplina Lean, y en particular su herramienta estrella —el mapa de flujo de valor, o value stream mapping—, añade una capa reveladora: mide cuánto del recorrido total es trabajo real y cuánto es espera. El resultado suele ser demoledor. En procesos de servicios, cuando se mide de verdad, es habitual descubrir que menos de un diez por ciento del tiempo total es trabajo que añade valor; el resto son colas, esperas de aprobación y reprocesos. En un ejemplo documentado de tramitación de un expediente, el recorrido duraba catorce días de los cuales solo cincuenta y tres minutos eran trabajo real —una eficiencia del 0,8%—, y toda la mejora vino de atacar las esperas entre pasos, no el trabajo en sí. Ese contraste es, casi siempre, el momento en que a un empresario se le abren los ojos.</w:t>
      </w:r>
    </w:p>
    <w:p>
      <w:pPr>
        <w:spacing w:after="120" w:line="288"/>
      </w:pPr>
      <w:r>
        <w:rPr>
          <w:i w:val="false"/>
          <w:iCs w:val="false"/>
          <w:color w:val="3A4348"/>
          <w:sz w:val="20"/>
          <w:szCs w:val="20"/>
        </w:rPr>
        <w:t xml:space="preserve">Aquí conviene explicar un concepto que usaremos a menudo y que no se puede dar por sabido: el cuello de botella. Todo proceso tiene un punto que va más lento que los demás y que, por eso, marca el ritmo de todo el conjunto —igual que una cadena se rompe por su eslabón más débil, un proceso no puede ir más rápido que su paso más lento—. Reforzar cualquier otro paso no acelera nada: solo genera más trabajo acumulado esperando delante del cuello. Por eso la regla de oro de la mejora de procesos es encontrar el cuello de botella y concentrar ahí el esfuerzo; arreglar lo que no es el cuello es teatro. En el mapa, el cuello se delata como el punto donde más trabajo se acumula esperando. Y hay un lenguaje útil para nombrar lo que se ve: los ocho desperdicios del Lean —esperas, reprocesos, transportes de información, sobreprocesamiento, y demás—, que le dan al equipo palabras compartidas para señalar lo que sobra.</w:t>
      </w:r>
    </w:p>
    <w:p>
      <w:pPr>
        <w:spacing w:after="55" w:before="170"/>
      </w:pPr>
      <w:r>
        <w:rPr>
          <w:b/>
          <w:bCs/>
          <w:color w:val="05070A"/>
          <w:sz w:val="18"/>
          <w:szCs w:val="18"/>
        </w:rPr>
        <w:t xml:space="preserve">Cómo se dibuja: los carriles</w:t>
      </w:r>
    </w:p>
    <w:p>
      <w:pPr>
        <w:spacing w:after="120" w:line="288"/>
      </w:pPr>
      <w:r>
        <w:rPr>
          <w:i w:val="false"/>
          <w:iCs w:val="false"/>
          <w:color w:val="3A4348"/>
          <w:sz w:val="20"/>
          <w:szCs w:val="20"/>
        </w:rPr>
        <w:t xml:space="preserve">La técnica más útil para una empresa de servicios es el diagrama de carriles (swimlane): un flujo partido en bandas, donde cada carril es un rol o un departamento y cada tarea se coloca en el carril de quien la hace. Su virtud es que responde de un vistazo a la pregunta que más fricción genera —«¿de quién era esto?»— y, sobre todo, hace visibles los traspasos: cada vez que una flecha salta de un carril a otro, ahí hay un handoff. Un proceso enfermo se reconoce porque su dibujo zigzaguea sin parar entre carriles. No hace falta dominar la notación técnica completa (la que los expertos llaman BPMN); con cinco elementos —un inicio, un fin, las tareas escritas con verbo, los rombos de decisión y los carriles— se documenta el noventa y cinco por ciento de los procesos de una pyme. La herramienta concreta da igual —Miró, Visio, PowerPoint, Excel o incluso papel—: lo que importa es que el mapa se valide con quien de verdad ejecuta el proceso y que no se quede muerto en un cajón, porque el mayor riesgo de un mapa es que se dibuje una vez y no se vuelva a mirar.</w:t>
      </w:r>
    </w:p>
    <w:p>
      <w:pPr>
        <w:spacing w:after="55" w:before="170"/>
      </w:pPr>
      <w:r>
        <w:rPr>
          <w:b/>
          <w:bCs/>
          <w:color w:val="05070A"/>
          <w:sz w:val="18"/>
          <w:szCs w:val="18"/>
        </w:rPr>
        <w:t xml:space="preserve">Un ejemplo para verlo entero</w:t>
      </w:r>
    </w:p>
    <w:p>
      <w:pPr>
        <w:spacing w:after="120" w:line="288"/>
      </w:pPr>
      <w:r>
        <w:rPr>
          <w:i w:val="false"/>
          <w:iCs w:val="false"/>
          <w:color w:val="3A4348"/>
          <w:sz w:val="20"/>
          <w:szCs w:val="20"/>
        </w:rPr>
        <w:t xml:space="preserve">Tomemos el proceso de incorporación de un cliente nuevo en una empresa de servicios, dibujado en tres carriles: cliente, equipo de la empresa y sistema (los correos automáticos). Arranca con un disparador claro —la venta cerrada—. El sistema envía la bienvenida (primer traspaso: la empresa pasa la pelota al cliente). El cliente rellena un formulario y sube documentación (segundo traspaso: la devuelve). Ahí hay una puerta de decisión: ¿la documentación está completa? Si no, vuelve al cliente con un recordatorio —y aquí, dice la experiencia, es donde se acumula la mayoría de los retrasos—; si sí, el equipo configura y prepara el arranque. Se hace el kickoff (tercer traspaso), y finalmente el equipo de incorporación entrega el cliente al equipo de entrega recurrente (cuarto traspaso, el más olvidado, donde hay que pasar por escrito la ficha del cliente y los compromisos hechos en la venta). Cierra con un criterio inequívoco: cliente activo en entrega. El dibujo zigzaguea cuatro veces entre carriles: esos cuatro traspasos y esa única puerta son exactamente los cinco puntos donde blindar el proceso —con un checklist de documentación, un criterio de «completo», un guion de kickoff y una ficha de traspaso— rinde más que cualquier rediseño global.</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la empresa ve su negocio como un flujo, no como un conjunto de silos; los traspasos donde se cae el trabajo quedan a la vista y se pueden blindar; se sabe por qué proceso empezar a ordenar (el que mueve el dinero, el que se rompe); y el resto del pilar —SOPs, indicadores, decisiones— tiene por fin una estructura sobre la que colgar.</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el trabajo se cae en los huecos entre departamentos sin que nadie sepa por qué, el conocimiento vive en cabezas, y cada intento de mejora ataca pasos que no son el cuello de botella —esfuerzo que no cambia nada—. Un mapa dibujado del ideal en vez de la realidad, o tan detallado que nadie lo mira, es casi peor: da sensación de orden mientras esconde los mismos problemas.</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el mapa de procesos</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Nadie sabría dibujar cómo fluye el trabajo; cada uno conoce su trozo y nada más.</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Se intuye el flujo, pero no está dibujado; los traspasos son invisibles hasta que algo se cae.</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 mapa, pero dibuja el ideal, mezcla niveles o no marca los traspasos; no se usa para decidir.</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pocos procesos claros, por funciones, con inicio/fin y traspasos marcados, y se usa para priorizar y mejorar.</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Los procesos y sus nodos están tan estructurados que un agente puede seguir el flujo, medir tiempos y detectar dónde se atasca.</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Del Rumbo (01), que dice qué procesos son core para cómo gana la empresa (el «cómo ganamos» de la pieza 3 marca la promesa que los procesos deben cumplir), y del conocimiento real de cómo se hace hoy el trabajo, que se recoge yendo a mirarlo.</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las SOPs (07), que documentan el detalle de cada proceso crítico; a la Matriz de decisiones (04), a través de las puertas de decisión; y al Panel de indicadores (12), porque de los procesos nacen buena parte de los KPIs (tiempos, calidad de cada traspaso). Es la llave del pilar: sin el mapa, las SOPs no saben qué documentar.</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Mapear un proceso puede leerse como una auditoría —«¿me están fiscalizando cómo trabajo?»—, así que la forma importa. La regla de oro es que el mapa se construye con quien ejecuta, no sobre él: son las personas que hacen el trabajo las que saben dónde están de verdad los apaños y las esperas, y un mapa dibujado desde el despacho siempre miente. Conviene enmarcarlo como lo que es —una forma de que el trabajo deje de caerse en los huecos y de que nadie tenga que adivinar de quién era cada cosa—, y no como un juicio sobre la eficiencia de nadie. Y ayuda mucho empezar por un proceso que a todos les duela: cuando el equipo ve que dibujar el flujo destapa por qué ese proceso concreto siempre se atasca, la herramienta deja de dar miedo y empieza a pedirse.</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Traza el flujo del dinero. </w:t>
      </w:r>
      <w:r>
        <w:rPr>
          <w:color w:val="3A4348"/>
          <w:sz w:val="20"/>
          <w:szCs w:val="20"/>
        </w:rPr>
        <w:t xml:space="preserve">De la captación al cobro. Marca dónde cambia de manos: cada cambio de departamento suele ser la frontera entre dos procesos. Agrupa hasta quedarte en cinco o seis cajas grandes.</w:t>
      </w:r>
    </w:p>
    <w:p>
      <w:pPr>
        <w:pStyle w:val="ListParagraph"/>
        <w:numPr>
          <w:ilvl w:val="0"/>
          <w:numId w:val="3"/>
        </w:numPr>
        <w:spacing w:after="92" w:line="282"/>
      </w:pPr>
      <w:r>
        <w:rPr>
          <w:b/>
          <w:bCs/>
          <w:color w:val="05070A"/>
          <w:sz w:val="20"/>
          <w:szCs w:val="20"/>
        </w:rPr>
        <w:t xml:space="preserve">Sepáralos en familias y prioriza. </w:t>
      </w:r>
      <w:r>
        <w:rPr>
          <w:color w:val="3A4348"/>
          <w:sz w:val="20"/>
          <w:szCs w:val="20"/>
        </w:rPr>
        <w:t xml:space="preserve">Core, gestión, soporte. Elige para trabajar primero los que mueven el dinero y los que se rompen; el resto puede esperar.</w:t>
      </w:r>
    </w:p>
    <w:p>
      <w:pPr>
        <w:pStyle w:val="ListParagraph"/>
        <w:numPr>
          <w:ilvl w:val="0"/>
          <w:numId w:val="3"/>
        </w:numPr>
        <w:spacing w:after="92" w:line="282"/>
      </w:pPr>
      <w:r>
        <w:rPr>
          <w:b/>
          <w:bCs/>
          <w:color w:val="05070A"/>
          <w:sz w:val="20"/>
          <w:szCs w:val="20"/>
        </w:rPr>
        <w:t xml:space="preserve">Encuadra cada proceso con un SIPOC. </w:t>
      </w:r>
      <w:r>
        <w:rPr>
          <w:color w:val="3A4348"/>
          <w:sz w:val="20"/>
          <w:szCs w:val="20"/>
        </w:rPr>
        <w:t xml:space="preserve">Proveedores, entradas, proceso (4-6 pasos), salidas, clientes. Si te salen más de seis pasos, estás bajando de nivel.</w:t>
      </w:r>
    </w:p>
    <w:p>
      <w:pPr>
        <w:pStyle w:val="ListParagraph"/>
        <w:numPr>
          <w:ilvl w:val="0"/>
          <w:numId w:val="3"/>
        </w:numPr>
        <w:spacing w:after="92" w:line="282"/>
      </w:pPr>
      <w:r>
        <w:rPr>
          <w:b/>
          <w:bCs/>
          <w:color w:val="05070A"/>
          <w:sz w:val="20"/>
          <w:szCs w:val="20"/>
        </w:rPr>
        <w:t xml:space="preserve">Dibújalo en carriles. </w:t>
      </w:r>
      <w:r>
        <w:rPr>
          <w:color w:val="3A4348"/>
          <w:sz w:val="20"/>
          <w:szCs w:val="20"/>
        </w:rPr>
        <w:t xml:space="preserve">Un carril por rol. Coloca cada tarea en su carril, con verbo. Marca los tres tipos de nodo: inicio (disparador claro), fin (criterio de cierre) y, en rojo, cada traspaso entre carriles.</w:t>
      </w:r>
    </w:p>
    <w:p>
      <w:pPr>
        <w:pStyle w:val="ListParagraph"/>
        <w:numPr>
          <w:ilvl w:val="0"/>
          <w:numId w:val="3"/>
        </w:numPr>
        <w:spacing w:after="92" w:line="282"/>
      </w:pPr>
      <w:r>
        <w:rPr>
          <w:b/>
          <w:bCs/>
          <w:color w:val="05070A"/>
          <w:sz w:val="20"/>
          <w:szCs w:val="20"/>
        </w:rPr>
        <w:t xml:space="preserve">Perfila las puertas de decisión. </w:t>
      </w:r>
      <w:r>
        <w:rPr>
          <w:color w:val="3A4348"/>
          <w:sz w:val="20"/>
          <w:szCs w:val="20"/>
        </w:rPr>
        <w:t xml:space="preserve">Cada rombo, con su pregunta cerrada y su enlace a la Matriz de decisiones (quién decide, hasta qué límite).</w:t>
      </w:r>
    </w:p>
    <w:p>
      <w:pPr>
        <w:pStyle w:val="ListParagraph"/>
        <w:numPr>
          <w:ilvl w:val="0"/>
          <w:numId w:val="3"/>
        </w:numPr>
        <w:spacing w:after="92" w:line="282"/>
      </w:pPr>
      <w:r>
        <w:rPr>
          <w:b/>
          <w:bCs/>
          <w:color w:val="05070A"/>
          <w:sz w:val="20"/>
          <w:szCs w:val="20"/>
        </w:rPr>
        <w:t xml:space="preserve">Valídalo con quien ejecuta y guárdalo vivo. </w:t>
      </w:r>
      <w:r>
        <w:rPr>
          <w:color w:val="3A4348"/>
          <w:sz w:val="20"/>
          <w:szCs w:val="20"/>
        </w:rPr>
        <w:t xml:space="preserve">El mapa lo confirman las personas del proceso. Y se revisa cuando el proceso cambia; si no, muere en una semana.</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La ficha es libre. </w:t>
            </w:r>
            <w:r>
              <w:rPr>
                <w:color w:val="3A4348"/>
                <w:sz w:val="19"/>
                <w:szCs w:val="19"/>
              </w:rPr>
              <w:t xml:space="preserve">A diferencia de otras herramientas, aquí la plantilla es muy abierta: la empresa puede mapear en la herramienta que quiera. Lo que DÍA UNO fija no es el formato, sino el método —seguir el dinero, pocas cajas, carriles, marcar traspasos y puertas— y un ejemplo de proceso bien mapeado para que se vea el listón.</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Cuando el mapa está Operativo —pocos procesos claros, con nodos y traspasos marcados—, su parte reglada puede sostenerse con un agente. El agente puede seguir el flujo de un caso concreto a lo largo del proceso, medir cuánto tiempo pasa en cada paso y cuánto esperando, detectar dónde se está formando el cuello de botella, y avisar cuando un traspaso se atasca o una puerta de decisión lleva demasiado esperando a quien debe decidir. No rediseña el proceso —eso es criterio humano—; vigila el flujo y señala dónde el trabajo se está cayendo, que es lo que una persona ocupada no ve.</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Los procesos que mueven el dinero, identificados. </w:t>
      </w:r>
      <w:r>
        <w:rPr>
          <w:color w:val="3A4348"/>
          <w:sz w:val="20"/>
          <w:szCs w:val="20"/>
        </w:rPr>
        <w:t xml:space="preserve">Pocas cajas grandes, del flujo core (de la captación al cobro).</w:t>
      </w:r>
    </w:p>
    <w:p>
      <w:pPr>
        <w:pStyle w:val="ListParagraph"/>
        <w:numPr>
          <w:ilvl w:val="0"/>
          <w:numId w:val="2"/>
        </w:numPr>
        <w:spacing w:after="72" w:line="282"/>
      </w:pPr>
      <w:r>
        <w:rPr>
          <w:b/>
          <w:bCs/>
          <w:color w:val="05070A"/>
          <w:sz w:val="20"/>
          <w:szCs w:val="20"/>
        </w:rPr>
        <w:t xml:space="preserve">Con inicio, fin y traspasos marcados. </w:t>
      </w:r>
      <w:r>
        <w:rPr>
          <w:color w:val="3A4348"/>
          <w:sz w:val="20"/>
          <w:szCs w:val="20"/>
        </w:rPr>
        <w:t xml:space="preserve">Sobre todo los traspasos: dónde el trabajo cambia de manos.</w:t>
      </w:r>
    </w:p>
    <w:p>
      <w:pPr>
        <w:pStyle w:val="ListParagraph"/>
        <w:numPr>
          <w:ilvl w:val="0"/>
          <w:numId w:val="2"/>
        </w:numPr>
        <w:spacing w:after="72" w:line="282"/>
      </w:pPr>
      <w:r>
        <w:rPr>
          <w:b/>
          <w:bCs/>
          <w:color w:val="05070A"/>
          <w:sz w:val="20"/>
          <w:szCs w:val="20"/>
        </w:rPr>
        <w:t xml:space="preserve">El real, no el ideal, validado con quien ejecuta. </w:t>
      </w:r>
      <w:r>
        <w:rPr>
          <w:color w:val="3A4348"/>
          <w:sz w:val="20"/>
          <w:szCs w:val="20"/>
        </w:rPr>
        <w:t xml:space="preserve">Se dibuja cómo se hace hoy, no cómo debería hacerse.</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El mapa de procesos es crítico en cuanto el trabajo cruza a más de un par de manos: cualquier empresa con varios departamentos, o que sufra el «esto se cayó entre los dos», o que quiera documentar sus SOPs con sentido. Toma un peso especial en negocios de servicios con procesos largos y muchos traspasos —consultoras, agencias, gestorías, instaladoras—, donde la mayor parte de los problemas viven precisamente en los huecos entre áreas. Pesa menos en un negocio de una sola persona que hace todo el flujo sin traspasos — aunque incluso ahí, dibujar el mapa es el primer paso para poder delegar sin que el flujo se rompa.</w:t>
      </w:r>
    </w:p>
    <w:p>
      <w:pPr>
        <w:pBdr>
          <w:top w:val="single" w:color="D5DCDD" w:sz="6" w:space="6"/>
        </w:pBdr>
        <w:spacing w:before="280"/>
      </w:pPr>
      <w:r>
        <w:rPr>
          <w:color w:val="6A767B"/>
          <w:sz w:val="14"/>
          <w:szCs w:val="14"/>
        </w:rPr>
        <w:t xml:space="preserve">DÍA UNO · Procesos · 06 · El mapa de procesos · Teoría V2 · Fuentes: Lean / Value Stream Mapping (TKMG, Lean Enterprise Institute); Teoría de las Restricciones; cadena de valor de Porter y marco APQC; Lead/Quote/Order-to-Cash; EOS (Process component, 6-10 procesos); SIPOC; BPMN y diagramas de carriles (Rummler-Brache).</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2026-08-09T15:05:43.165Z</dcterms:created>
  <dcterms:modified xsi:type="dcterms:W3CDTF">2026-08-09T15:05:43.182Z</dcterms:modified>
</cp:coreProperties>
</file>

<file path=docProps/custom.xml><?xml version="1.0" encoding="utf-8"?>
<Properties xmlns="http://schemas.openxmlformats.org/officeDocument/2006/custom-properties" xmlns:vt="http://schemas.openxmlformats.org/officeDocument/2006/docPropsVTypes"/>
</file>