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5070A"/>
          <w:spacing w:val="60"/>
          <w:sz w:val="20"/>
          <w:szCs w:val="20"/>
        </w:rPr>
        <w:t xml:space="preserve">DÍA UNO</w:t>
      </w:r>
      <w:r>
        <w:rPr>
          <w:color w:val="6A767B"/>
          <w:spacing w:val="40"/>
          <w:sz w:val="14"/>
          <w:szCs w:val="14"/>
        </w:rPr>
        <w:t xml:space="preserve">   ·   SISTEMA OPERATIVO HÍBRIDO</w:t>
      </w:r>
    </w:p>
    <w:p>
      <w:pPr>
        <w:pBdr>
          <w:bottom w:val="single" w:color="0C6F7F" w:sz="6" w:space="2"/>
        </w:pBdr>
        <w:spacing w:after="160"/>
      </w:pPr>
    </w:p>
    <w:p>
      <w:pPr>
        <w:spacing w:after="40" w:before="40"/>
      </w:pPr>
      <w:r>
        <w:rPr>
          <w:b/>
          <w:bCs/>
          <w:color w:val="0C6F7F"/>
          <w:spacing w:val="30"/>
          <w:sz w:val="14"/>
          <w:szCs w:val="14"/>
        </w:rPr>
        <w:t xml:space="preserve">PILAR CAJA · HERRAMIENTA 08 · TEORÍA</w:t>
      </w:r>
    </w:p>
    <w:p>
      <w:pPr>
        <w:spacing w:after="80"/>
      </w:pPr>
      <w:r>
        <w:rPr>
          <w:b/>
          <w:bCs/>
          <w:color w:val="05070A"/>
          <w:sz w:val="34"/>
          <w:szCs w:val="34"/>
        </w:rPr>
        <w:t xml:space="preserve">El panel de caja</w:t>
      </w:r>
    </w:p>
    <w:p>
      <w:pPr>
        <w:spacing w:after="60" w:line="280"/>
      </w:pPr>
      <w:r>
        <w:rPr>
          <w:i/>
          <w:iCs/>
          <w:color w:val="6A767B"/>
          <w:sz w:val="20"/>
          <w:szCs w:val="20"/>
        </w:rPr>
        <w:t xml:space="preserve">Saber si va a faltar dinero antes de que pase. La herramienta que mira el calendario del dinero —no el beneficio— para que a la empresa no la pille por sorpresa un problema de tesorería. El pilar que casi ningún sistema operativo cubre, y parte del foso de DÍA UNO.</w:t>
      </w:r>
    </w:p>
    <w:tbl>
      <w:tblPr>
        <w:tblW w:type="dxa" w:w="9026"/>
        <w:tblBorders>
          <w:top w:val="none"/>
          <w:left w:val="single" w:color="0C6F7F" w:sz="18"/>
          <w:bottom w:val="none"/>
          <w:right w:val="none"/>
          <w:insideH w:val="none"/>
          <w:insideV w:val="none"/>
        </w:tblBorders>
      </w:tblPr>
      <w:tblGrid>
        <w:gridCol w:w="9026"/>
      </w:tblGrid>
      <w:tr>
        <w:tc>
          <w:tcPr>
            <w:tcW w:type="dxa" w:w="9026"/>
            <w:shd w:fill="EEF4F4" w:color="auto" w:val="clear"/>
            <w:tcMar>
              <w:top w:type="dxa" w:w="130"/>
              <w:left w:type="dxa" w:w="200"/>
              <w:bottom w:type="dxa" w:w="130"/>
              <w:right w:type="dxa" w:w="160"/>
            </w:tcMar>
          </w:tcPr>
          <w:p>
            <w:pPr>
              <w:spacing w:line="284"/>
            </w:pPr>
            <w:r>
              <w:rPr>
                <w:b/>
                <w:bCs/>
                <w:color w:val="05070A"/>
                <w:sz w:val="19"/>
                <w:szCs w:val="19"/>
              </w:rPr>
              <w:t xml:space="preserve">Qué vas a poder hacer al terminar. </w:t>
            </w:r>
            <w:r>
              <w:rPr>
                <w:color w:val="3A4348"/>
                <w:sz w:val="19"/>
                <w:szCs w:val="19"/>
              </w:rPr>
              <w:t xml:space="preserve">Ver, semana a semana durante los próximos tres meses, cuánto dinero vas a tener de verdad en la cuenta; detectar con semanas de antelación la semana en que la caja se va a apretar; y saber qué palancas mover —cobrar antes, reprogramar un pago, activar una línea— para no llegar ahogado. Todo sin ser financiero.</w:t>
            </w:r>
          </w:p>
        </w:tc>
      </w:tr>
    </w:tbl>
    <w:p>
      <w:pPr>
        <w:spacing w:after="110" w:before="300"/>
      </w:pPr>
      <w:r>
        <w:rPr>
          <w:b/>
          <w:bCs/>
          <w:color w:val="0C6F7F"/>
          <w:spacing w:val="15"/>
          <w:sz w:val="21"/>
          <w:szCs w:val="21"/>
        </w:rPr>
        <w:t xml:space="preserve">1 · Qué es</w:t>
      </w:r>
    </w:p>
    <w:p>
      <w:pPr>
        <w:spacing w:after="120" w:line="288"/>
      </w:pPr>
      <w:r>
        <w:rPr>
          <w:i w:val="false"/>
          <w:iCs w:val="false"/>
          <w:color w:val="3A4348"/>
          <w:sz w:val="20"/>
          <w:szCs w:val="20"/>
        </w:rPr>
        <w:t xml:space="preserve">El panel de caja es el cuadro que responde a una sola pregunta, la más pegada a la supervivencia de una empresa: ¿voy a tener dinero en la cuenta el día que tenga que pagar? No mira si el negocio gana dinero —eso lo mira la contabilidad—, sino si tiene dinero, y cuándo. Su corazón es una previsión semanal de lo que va a entrar y salir de la cuenta durante los próximos meses, leída contra una línea roja: el mínimo de caja por debajo del cual la empresa no quiere bajar.</w:t>
      </w:r>
    </w:p>
    <w:p>
      <w:pPr>
        <w:spacing w:after="120" w:line="288"/>
      </w:pPr>
      <w:r>
        <w:rPr>
          <w:b/>
          <w:bCs/>
          <w:color w:val="05070A"/>
          <w:sz w:val="20"/>
          <w:szCs w:val="20"/>
        </w:rPr>
        <w:t xml:space="preserve">Qué no es. </w:t>
      </w:r>
      <w:r>
        <w:rPr>
          <w:color w:val="3A4348"/>
          <w:sz w:val="20"/>
          <w:szCs w:val="20"/>
        </w:rPr>
        <w:t xml:space="preserve">No es la contabilidad ni la cuenta de resultados, que miran al pasado y al beneficio. No es el presupuesto anual. Y no es el bloque del Rumbo llamado Caja y North Stars, que fija el norte económico —cuál es el colchón sagrado, cuál es el motor de beneficio—: eso es una decisión de dirección. Esta herramienta es la operación de ese norte: el instrumento del día a día que vigila la tesorería y avisa. El Rumbo decide cuál es el suelo; el panel vigila que no lo crucemos.</w:t>
      </w:r>
    </w:p>
    <w:p>
      <w:pPr>
        <w:spacing w:after="120" w:line="288"/>
      </w:pPr>
      <w:r>
        <w:rPr>
          <w:i w:val="false"/>
          <w:iCs w:val="false"/>
          <w:color w:val="3A4348"/>
          <w:sz w:val="20"/>
          <w:szCs w:val="20"/>
        </w:rPr>
        <w:t xml:space="preserve">La metáfora que mejor lo explica es la del depósito de gasolina con un indicador de autonomía. La contabilidad te dice, a final de mes, cuántos kilómetros hiciste y si el viaje fue rentable. El panel de caja es la aguja que, mientras conduces, te dice cuánta gasolina te queda y en qué punto del trayecto te vas a quedar tirado si no repostas. Las dos cosas importan, pero solo una evita que te quedes parado en el arcén.</w:t>
      </w:r>
    </w:p>
    <w:p>
      <w:pPr>
        <w:spacing w:after="110" w:before="300"/>
      </w:pPr>
      <w:r>
        <w:rPr>
          <w:b/>
          <w:bCs/>
          <w:color w:val="0C6F7F"/>
          <w:spacing w:val="15"/>
          <w:sz w:val="21"/>
          <w:szCs w:val="21"/>
        </w:rPr>
        <w:t xml:space="preserve">2 · Para qué sirve</w:t>
      </w:r>
    </w:p>
    <w:p>
      <w:pPr>
        <w:spacing w:after="120" w:line="288"/>
      </w:pPr>
      <w:r>
        <w:rPr>
          <w:i w:val="false"/>
          <w:iCs w:val="false"/>
          <w:color w:val="3A4348"/>
          <w:sz w:val="20"/>
          <w:szCs w:val="20"/>
        </w:rPr>
        <w:t xml:space="preserve">Sirve para no morir de un problema que casi nadie ve venir: quedarse sin dinero siendo rentable. Es la paradoja que hunde a más pymes buenas de lo que parece. El beneficio y la caja viven en calendarios distintos. El beneficio cuenta una venta el día que se factura; la caja, el día —semanas después— que el cliente paga. Mientras tanto, la nómina, el alquiler y los impuestos no esperan. Una empresa puede cerrar el mes con beneficio en el papel y no tener con qué pagar la nómina del viernes, simplemente porque el dinero que ha ganado todavía no ha llegado. La contabilidad, que mira el beneficio, no ve ese apretón; el panel de caja existe justo para verlo.</w:t>
      </w:r>
    </w:p>
    <w:p>
      <w:pPr>
        <w:spacing w:after="120" w:line="288"/>
      </w:pPr>
      <w:r>
        <w:rPr>
          <w:i w:val="false"/>
          <w:iCs w:val="false"/>
          <w:color w:val="3A4348"/>
          <w:sz w:val="20"/>
          <w:szCs w:val="20"/>
        </w:rPr>
        <w:t xml:space="preserve">Sirve también para algo menos dramático y más cotidiano: decidir con tranquilidad. Casi todas las decisiones de una empresa tienen una cara de caja —contratar, comprar un equipo, aceptar un cliente que paga tarde, adelantar una inversión—, y tomarlas sin ver la tesorería es decidir a ciegas. Con el panel delante, la pregunta «¿nos lo podemos permitir esta primavera?» deja de ser una intuición nerviosa y se convierte en algo que se mira en la tabla. La empresa deja de vivir con esa ansiedad difusa de fondo sobre si llegará a fin de mes, porque lo sabe.</w:t>
      </w:r>
    </w:p>
    <w:p>
      <w:pPr>
        <w:spacing w:after="120" w:line="288"/>
      </w:pPr>
      <w:r>
        <w:rPr>
          <w:i w:val="false"/>
          <w:iCs w:val="false"/>
          <w:color w:val="3A4348"/>
          <w:sz w:val="20"/>
          <w:szCs w:val="20"/>
        </w:rPr>
        <w:t xml:space="preserve">Y sirve, muy en concreto, para que un problema de tesorería se vea con tiempo de reaccionar. La diferencia entre un susto y una crisis es casi siempre el aviso. Si descubres que te falta dinero la semana en que tienes que pagar, solo te quedan malas opciones —un préstamo caro y con prisa, no pagar a alguien—. Si lo ves con seis semanas de margen, tienes buenas: acelerar un cobro concreto, reprogramar un pago, confirmar que hay una línea de crédito disponible. El panel de caja convierte los sustos en decisiones tomadas con tiempo.</w:t>
      </w:r>
    </w:p>
    <w:p>
      <w:pPr>
        <w:spacing w:after="110" w:before="300"/>
      </w:pPr>
      <w:r>
        <w:rPr>
          <w:b/>
          <w:bCs/>
          <w:color w:val="0C6F7F"/>
          <w:spacing w:val="15"/>
          <w:sz w:val="21"/>
          <w:szCs w:val="21"/>
        </w:rPr>
        <w:t xml:space="preserve">3 · Cómo funciona</w:t>
      </w:r>
    </w:p>
    <w:p>
      <w:pPr>
        <w:spacing w:after="55" w:before="170"/>
      </w:pPr>
      <w:r>
        <w:rPr>
          <w:b/>
          <w:bCs/>
          <w:color w:val="05070A"/>
          <w:sz w:val="18"/>
          <w:szCs w:val="18"/>
        </w:rPr>
        <w:t xml:space="preserve">La idea de la que cuelga todo: beneficio no es caja</w:t>
      </w:r>
    </w:p>
    <w:p>
      <w:pPr>
        <w:spacing w:after="120" w:line="288"/>
      </w:pPr>
      <w:r>
        <w:rPr>
          <w:i w:val="false"/>
          <w:iCs w:val="false"/>
          <w:color w:val="3A4348"/>
          <w:sz w:val="20"/>
          <w:szCs w:val="20"/>
        </w:rPr>
        <w:t xml:space="preserve">Conviene explicar bien esto, porque es el concepto que casi ningún empresario no financiero tiene claro y del que depende toda la herramienta. El beneficio es una opinión: ingresos devengados menos gastos devengados, según las reglas de la contabilidad. La caja es un hecho: el dinero que entra y sale de la cuenta, con sus fechas reales. Una empresa se queda sin caja siendo rentable por motivos muy concretos y muy comunes: cobra a sus clientes a sesenta días pero paga la nómina cada mes; crece, y contratar y comprar consume dinero antes de generarlo; llega un pago grande de impuestos que no estaba reservado; devuelve el principal de un préstamo, que sale de la caja pero no aparece en la cuenta de resultados. En todos esos casos el negocio gana dinero y aun así se ahoga. Por eso la tesorería es una disciplina propia, separada de la contabilidad.</w:t>
      </w:r>
    </w:p>
    <w:p>
      <w:pPr>
        <w:spacing w:after="55" w:before="170"/>
      </w:pPr>
      <w:r>
        <w:rPr>
          <w:b/>
          <w:bCs/>
          <w:color w:val="05070A"/>
          <w:sz w:val="18"/>
          <w:szCs w:val="18"/>
        </w:rPr>
        <w:t xml:space="preserve">El corazón del panel: la previsión a 13 semanas</w:t>
      </w:r>
    </w:p>
    <w:p>
      <w:pPr>
        <w:spacing w:after="120" w:line="288"/>
      </w:pPr>
      <w:r>
        <w:rPr>
          <w:i w:val="false"/>
          <w:iCs w:val="false"/>
          <w:color w:val="3A4348"/>
          <w:sz w:val="20"/>
          <w:szCs w:val="20"/>
        </w:rPr>
        <w:t xml:space="preserve">La herramienta central es una previsión de caja a trece semanas que rueda: una tabla que proyecta, semana a semana durante un trimestre, el dinero que va a entrar y salir, y que cada semana se refresca —se sustituye la semana que acaba por lo que de verdad pasó y se añade una semana nueva al final—, de modo que siempre estás mirando trece semanas hacia delante. La mecánica es una cadena sencilla que cualquiera entiende: saldo al empezar la semana, más lo que se cobra, menos lo que se paga, igual a saldo al terminar; y ese saldo final es el inicial de la semana siguiente.</w:t>
      </w:r>
    </w:p>
    <w:p>
      <w:pPr>
        <w:spacing w:after="120" w:line="288"/>
      </w:pPr>
      <w:r>
        <w:rPr>
          <w:i w:val="false"/>
          <w:iCs w:val="false"/>
          <w:color w:val="3A4348"/>
          <w:sz w:val="20"/>
          <w:szCs w:val="20"/>
        </w:rPr>
        <w:t xml:space="preserve">¿Por qué trece semanas, y por qué semanas y no meses? Trece semanas es un trimestre: el horizonte en el que una previsión de tesorería es a la vez creíble y accionable —más allá de tres meses, el timing semanal se vuelve adivinación—. Y semanas, no meses, porque la vista mensual miente por promediar: un mes puede cerrar bien y esconder una semana concreta en números rojos, la semana en que coinciden la nómina, un pago grande de proveedores y el trimestre de IVA. Solo la rejilla semanal enseña esa semana precisa del apretón, que es la única sobre la que se puede actuar a tiempo. La regla al construirla: los cobros se fechan por cuándo se espera el dinero en el banco, no por la fecha teórica de vencimiento de la factura —porque las facturas casi siempre se pagan tarde—, y conviene separar lo que ya está comprometido de lo que es solo previsión.</w:t>
      </w:r>
    </w:p>
    <w:tbl>
      <w:tblPr>
        <w:tblW w:type="dxa" w:w="9026"/>
        <w:tblBorders>
          <w:top w:val="none"/>
          <w:left w:val="single" w:color="0C6F7F" w:sz="18"/>
          <w:bottom w:val="none"/>
          <w:right w:val="none"/>
          <w:insideH w:val="none"/>
          <w:insideV w:val="none"/>
        </w:tblBorders>
      </w:tblPr>
      <w:tblGrid>
        <w:gridCol w:w="9026"/>
      </w:tblGrid>
      <w:tr>
        <w:tc>
          <w:tcPr>
            <w:tcW w:type="dxa" w:w="9026"/>
            <w:shd w:fill="EEF4F4" w:color="auto" w:val="clear"/>
            <w:tcMar>
              <w:top w:type="dxa" w:w="130"/>
              <w:left w:type="dxa" w:w="200"/>
              <w:bottom w:type="dxa" w:w="130"/>
              <w:right w:type="dxa" w:w="160"/>
            </w:tcMar>
          </w:tcPr>
          <w:p>
            <w:pPr>
              <w:spacing w:line="284"/>
            </w:pPr>
            <w:r>
              <w:rPr>
                <w:b/>
                <w:bCs/>
                <w:color w:val="05070A"/>
                <w:sz w:val="19"/>
                <w:szCs w:val="19"/>
              </w:rPr>
              <w:t xml:space="preserve">Lo que de verdad manda decisiones. </w:t>
            </w:r>
            <w:r>
              <w:rPr>
                <w:color w:val="3A4348"/>
                <w:sz w:val="19"/>
                <w:szCs w:val="19"/>
              </w:rPr>
              <w:t xml:space="preserve">De toda la tabla, el número que importa es uno: el punto más bajo al que llega la caja proyectada, y en qué semana cae. Ese punto se lee contra la línea roja del suelo mínimo. Si alguna semana proyectada baja de esa línea, es una alarma —y como se ve con semanas de antelación, es una alarma con tiempo para actuar—.</w:t>
            </w:r>
          </w:p>
        </w:tc>
      </w:tr>
    </w:tbl>
    <w:p>
      <w:pPr>
        <w:spacing w:after="55" w:before="170"/>
      </w:pPr>
      <w:r>
        <w:rPr>
          <w:b/>
          <w:bCs/>
          <w:color w:val="05070A"/>
          <w:sz w:val="18"/>
          <w:szCs w:val="18"/>
        </w:rPr>
        <w:t xml:space="preserve">El suelo, el colchón y el runway</w:t>
      </w:r>
    </w:p>
    <w:p>
      <w:pPr>
        <w:spacing w:after="120" w:line="288"/>
      </w:pPr>
      <w:r>
        <w:rPr>
          <w:i w:val="false"/>
          <w:iCs w:val="false"/>
          <w:color w:val="3A4348"/>
          <w:sz w:val="20"/>
          <w:szCs w:val="20"/>
        </w:rPr>
        <w:t xml:space="preserve">Tres nociones ordenan la lectura del panel. El suelo mínimo sagrado es la línea roja: la cantidad de caja por debajo de la cual la empresa decide no operar nunca —típicamente algo como una nómina completa más los impuestos del trimestre más un mes de gastos fijos—; se decide de antemano, en el Rumbo, y aquí se vigila. El colchón es cuántos meses de gastos esenciales tiene la empresa guardados; el consenso práctico para una empresa de servicios es de tres a seis meses, y más si el negocio es estacional o cobra a tirones. Y el runway, o autonomía, es cuánto aguantaría la empresa si dejara de entrar dinero: la caja disponible dividida por lo que se quema al mes. Sesenta mil euros de caja y una quema de diez mil al mes son seis meses de runway. Estas tres cifras son las que convierten un saldo bancario en una lectura de riesgo.</w:t>
      </w:r>
    </w:p>
    <w:p>
      <w:pPr>
        <w:spacing w:after="55" w:before="170"/>
      </w:pPr>
      <w:r>
        <w:rPr>
          <w:b/>
          <w:bCs/>
          <w:color w:val="05070A"/>
          <w:sz w:val="18"/>
          <w:szCs w:val="18"/>
        </w:rPr>
        <w:t xml:space="preserve">Liberar caja sin vender más: el ciclo de caja y el Poder de Uno</w:t>
      </w:r>
    </w:p>
    <w:p>
      <w:pPr>
        <w:spacing w:after="120" w:line="288"/>
      </w:pPr>
      <w:r>
        <w:rPr>
          <w:i w:val="false"/>
          <w:iCs w:val="false"/>
          <w:color w:val="3A4348"/>
          <w:sz w:val="20"/>
          <w:szCs w:val="20"/>
        </w:rPr>
        <w:t xml:space="preserve">Aquí DÍA UNO toma prestada una de las mejores ideas de Scaling Up, porque es contraintuitiva y muy potente: se puede conseguir mucha más caja sin vender ni un euro más, solo cambiando el ritmo del dinero. La medida es el ciclo de conversión de caja: los días que tarda el dinero en volver a la cuenta desde que se gasta hasta que se cobra —los días que tardas en cobrar a clientes, más los de inventario, menos los que tardas en pagar a proveedores—. En una empresa de servicios, donde apenas hay inventario, se reduce en la práctica a una resta: los días que tardas en cobrar menos los que tardas en pagar. Cada día que recortas ese ciclo libera dinero de forma permanente.</w:t>
      </w:r>
    </w:p>
    <w:p>
      <w:pPr>
        <w:spacing w:after="120" w:line="288"/>
      </w:pPr>
      <w:r>
        <w:rPr>
          <w:i w:val="false"/>
          <w:iCs w:val="false"/>
          <w:color w:val="3A4348"/>
          <w:sz w:val="20"/>
          <w:szCs w:val="20"/>
        </w:rPr>
        <w:t xml:space="preserve">Verne Harnish lo popularizó como el «Poder de Uno»: calcular qué le pasa a tu caja y a tu beneficio si mueves un uno por ciento —o un día— cada palanca. Hay siete —precio, volumen, coste directo, gastos de estructura, días de cobro, inventario y días de pago— y conviene entender una regla: las palancas de margen (subir un uno por ciento el precio) caen casi enteras al beneficio, mientras que las de capital de trabajo (cobrar un día antes) liberan caja de golpe. Para una empresa de servicios, las palancas más a mano son facturar el mismo día que se entrega en lugar de a fin de mes, cobrar por anticipado o por hitos, poner domiciliación, ofrecer un pequeño descuento por pronto pago, y negociar plazos con los proveedores. Un ejemplo real: una empresa que cobra ochenta mil euros al mes y pasa de cobrar a cuarenta y cinco días a cobrar a treinta libera unos cuarenta mil euros de caja, una sola vez, sin haber vendido nada más.</w:t>
      </w:r>
    </w:p>
    <w:p>
      <w:pPr>
        <w:spacing w:after="55" w:before="170"/>
      </w:pPr>
      <w:r>
        <w:rPr>
          <w:b/>
          <w:bCs/>
          <w:color w:val="05070A"/>
          <w:sz w:val="18"/>
          <w:szCs w:val="18"/>
        </w:rPr>
        <w:t xml:space="preserve">Apartar el dinero antes de gastarlo: Profit First</w:t>
      </w:r>
    </w:p>
    <w:p>
      <w:pPr>
        <w:spacing w:after="120" w:line="288"/>
      </w:pPr>
      <w:r>
        <w:rPr>
          <w:i w:val="false"/>
          <w:iCs w:val="false"/>
          <w:color w:val="3A4348"/>
          <w:sz w:val="20"/>
          <w:szCs w:val="20"/>
        </w:rPr>
        <w:t xml:space="preserve">La otra idea prestada, del método Profit First de Mike Michalowicz, es conductual más que contable, y encaja de maravilla con una pyme. Le da la vuelta a la fórmula de siempre: en vez de «ingresos menos gastos igual a beneficio» —donde el beneficio es lo que sobra, y nunca sobra—, propone «ingresos menos beneficio igual a gastos»: se aparta el beneficio (y los impuestos) primero, y la empresa aprende a operar con lo que queda. El fundamento es la ley de Parkinson aplicada al dinero: si todo el dinero está a la vista en una sola cuenta, el gasto se expande hasta consumirlo. La solución es separar el dinero físicamente en varias cuentas —ingresos, beneficio, pago del dueño, impuestos, gastos— antes de que aparezca la tentación. La versión mínima para un negocio pequeño es abrir solo dos cuentas nuevas, la de impuestos y la de beneficio, e ir apartando un pequeño porcentaje de cada cobro; que el IVA del trimestre ya esté reservado cuando llega su fecha es, por sí solo, la diferencia entre un susto y ninguno. Un aviso importante: los porcentajes que propone el método son de origen estadounidense y hay que recalibrarlos a la fiscalidad española —IVA, cuota de autónomos o de la Seguridad Social, IRPF o Sociedades—.</w:t>
      </w:r>
    </w:p>
    <w:p>
      <w:pPr>
        <w:spacing w:after="55" w:before="170"/>
      </w:pPr>
      <w:r>
        <w:rPr>
          <w:b/>
          <w:bCs/>
          <w:color w:val="05070A"/>
          <w:sz w:val="18"/>
          <w:szCs w:val="18"/>
        </w:rPr>
        <w:t xml:space="preserve">Que el panel mejore solo: la precisión del forecast</w:t>
      </w:r>
    </w:p>
    <w:p>
      <w:pPr>
        <w:spacing w:after="120" w:line="288"/>
      </w:pPr>
      <w:r>
        <w:rPr>
          <w:i w:val="false"/>
          <w:iCs w:val="false"/>
          <w:color w:val="3A4348"/>
          <w:sz w:val="20"/>
          <w:szCs w:val="20"/>
        </w:rPr>
        <w:t xml:space="preserve">Una previsión no nace exacta; se afina. La disciplina que la mejora es sencilla: cada semana se congela lo que se había previsto, se compara con lo que de verdad pasó, y se aprende del error —clasificándolo en si fue de calendario (el cobro llegó, pero otra semana), de importe (llegó otra cifra) o de supuesto (el modelo estaba mal)—. Con diez o doce ciclos, el equipo descubre sus manías —que siempre es optimista con los cobros, por ejemplo— y la previsión se vuelve fiable. Ese número, la precisión de la previsión, es además un KPI que conviene vigilar en el panel de indicadores (12): una empresa que sabe cómo de fiable es su propia previsión de caja decide con mucha más tranquilidad.</w:t>
      </w:r>
    </w:p>
    <w:p>
      <w:pPr>
        <w:spacing w:after="55" w:before="170"/>
      </w:pPr>
      <w:r>
        <w:rPr>
          <w:b/>
          <w:bCs/>
          <w:color w:val="05070A"/>
          <w:sz w:val="18"/>
          <w:szCs w:val="18"/>
        </w:rPr>
        <w:t xml:space="preserve">Los pocos números que mira el dueño</w:t>
      </w:r>
    </w:p>
    <w:p>
      <w:pPr>
        <w:spacing w:after="120" w:line="288"/>
      </w:pPr>
      <w:r>
        <w:rPr>
          <w:i w:val="false"/>
          <w:iCs w:val="false"/>
          <w:color w:val="3A4348"/>
          <w:sz w:val="20"/>
          <w:szCs w:val="20"/>
        </w:rPr>
        <w:t xml:space="preserve">El panel completo es la tabla de trece semanas, pero por encima lleva un puñado de cifras de cabecera, las que un dueño no financiero mira en dos minutos: la caja de hoy (la del banco conciliado, no la del libro); el punto más bajo proyectado y en qué semana cae; el runway y el margen que queda sobre el suelo sagrado; la cartera vencida y los días de cobro; y los próximos grandes pagos. Si son más de cinco o siete, el dueño deja de mirarlos; la disciplina es mantenerlos pocos.</w:t>
      </w:r>
    </w:p>
    <w:p>
      <w:pPr>
        <w:spacing w:after="55" w:before="170"/>
      </w:pPr>
      <w:r>
        <w:rPr>
          <w:b/>
          <w:bCs/>
          <w:color w:val="05070A"/>
          <w:sz w:val="18"/>
          <w:szCs w:val="18"/>
        </w:rPr>
        <w:t xml:space="preserve">Un ejemplo para verlo entero</w:t>
      </w:r>
    </w:p>
    <w:p>
      <w:pPr>
        <w:spacing w:after="120" w:line="288"/>
      </w:pPr>
      <w:r>
        <w:rPr>
          <w:i w:val="false"/>
          <w:iCs w:val="false"/>
          <w:color w:val="3A4348"/>
          <w:sz w:val="20"/>
          <w:szCs w:val="20"/>
        </w:rPr>
        <w:t xml:space="preserve">Tomemos una consultora pequeña, rentable, que ingresa unos veintiocho mil euros al mes. Empieza el trimestre con veintidós mil euros en el banco y ha decidido que su suelo sagrado son quince mil. Tiene una nómina de nueve mil cada dos semanas, el alquiler, sus gastos corrientes, y —esto es lo importante— un pago de IVA del trimestre anterior de ocho mil euros que cae en la semana 7. Sobre el papel gana dinero; pero el calendario la mete en un aprieto. Al proyectar las trece semanas, el panel enseña esto ya en la semana 1:</w:t>
      </w:r>
    </w:p>
    <w:tbl>
      <w:tblPr>
        <w:tblW w:type="dxa" w:w="9026"/>
        <w:tblBorders>
          <w:top w:val="single" w:color="D5DCDD" w:sz="4"/>
          <w:left w:val="single" w:color="D5DCDD" w:sz="4"/>
          <w:bottom w:val="single" w:color="D5DCDD" w:sz="4"/>
          <w:right w:val="single" w:color="D5DCDD" w:sz="4"/>
          <w:insideH w:val="single" w:color="D5DCDD" w:sz="4"/>
          <w:insideV w:val="single" w:color="D5DCDD" w:sz="4"/>
        </w:tblBorders>
      </w:tblPr>
      <w:tblGrid>
        <w:gridCol w:w="1400"/>
        <w:gridCol w:w="1900"/>
        <w:gridCol w:w="1900"/>
        <w:gridCol w:w="1900"/>
        <w:gridCol w:w="1926"/>
      </w:tblGrid>
      <w:tr>
        <w:trPr>
          <w:tblHeader/>
        </w:trPr>
        <w:tc>
          <w:tcPr>
            <w:tcW w:type="dxa" w:w="1400"/>
            <w:shd w:fill="0C6F7F" w:color="auto" w:val="clear"/>
            <w:tcMar>
              <w:top w:type="dxa" w:w="90"/>
              <w:left w:type="dxa" w:w="130"/>
              <w:bottom w:type="dxa" w:w="90"/>
              <w:right w:type="dxa" w:w="130"/>
            </w:tcMar>
          </w:tcPr>
          <w:p>
            <w:r>
              <w:rPr>
                <w:b/>
                <w:bCs/>
                <w:color w:val="FFFFFF"/>
                <w:sz w:val="16"/>
                <w:szCs w:val="16"/>
              </w:rPr>
              <w:t xml:space="preserve">Semana</w:t>
            </w:r>
          </w:p>
        </w:tc>
        <w:tc>
          <w:tcPr>
            <w:tcW w:type="dxa" w:w="1900"/>
            <w:shd w:fill="0C6F7F" w:color="auto" w:val="clear"/>
            <w:tcMar>
              <w:top w:type="dxa" w:w="90"/>
              <w:left w:type="dxa" w:w="130"/>
              <w:bottom w:type="dxa" w:w="90"/>
              <w:right w:type="dxa" w:w="130"/>
            </w:tcMar>
          </w:tcPr>
          <w:p>
            <w:r>
              <w:rPr>
                <w:b/>
                <w:bCs/>
                <w:color w:val="FFFFFF"/>
                <w:sz w:val="16"/>
                <w:szCs w:val="16"/>
              </w:rPr>
              <w:t xml:space="preserve">Saldo inicial</w:t>
            </w:r>
          </w:p>
        </w:tc>
        <w:tc>
          <w:tcPr>
            <w:tcW w:type="dxa" w:w="1900"/>
            <w:shd w:fill="0C6F7F" w:color="auto" w:val="clear"/>
            <w:tcMar>
              <w:top w:type="dxa" w:w="90"/>
              <w:left w:type="dxa" w:w="130"/>
              <w:bottom w:type="dxa" w:w="90"/>
              <w:right w:type="dxa" w:w="130"/>
            </w:tcMar>
          </w:tcPr>
          <w:p>
            <w:r>
              <w:rPr>
                <w:b/>
                <w:bCs/>
                <w:color w:val="FFFFFF"/>
                <w:sz w:val="16"/>
                <w:szCs w:val="16"/>
              </w:rPr>
              <w:t xml:space="preserve">Cobros</w:t>
            </w:r>
          </w:p>
        </w:tc>
        <w:tc>
          <w:tcPr>
            <w:tcW w:type="dxa" w:w="1900"/>
            <w:shd w:fill="0C6F7F" w:color="auto" w:val="clear"/>
            <w:tcMar>
              <w:top w:type="dxa" w:w="90"/>
              <w:left w:type="dxa" w:w="130"/>
              <w:bottom w:type="dxa" w:w="90"/>
              <w:right w:type="dxa" w:w="130"/>
            </w:tcMar>
          </w:tcPr>
          <w:p>
            <w:r>
              <w:rPr>
                <w:b/>
                <w:bCs/>
                <w:color w:val="FFFFFF"/>
                <w:sz w:val="16"/>
                <w:szCs w:val="16"/>
              </w:rPr>
              <w:t xml:space="preserve">Pagos</w:t>
            </w:r>
          </w:p>
        </w:tc>
        <w:tc>
          <w:tcPr>
            <w:tcW w:type="dxa" w:w="1926"/>
            <w:shd w:fill="0C6F7F" w:color="auto" w:val="clear"/>
            <w:tcMar>
              <w:top w:type="dxa" w:w="90"/>
              <w:left w:type="dxa" w:w="130"/>
              <w:bottom w:type="dxa" w:w="90"/>
              <w:right w:type="dxa" w:w="130"/>
            </w:tcMar>
          </w:tcPr>
          <w:p>
            <w:r>
              <w:rPr>
                <w:b/>
                <w:bCs/>
                <w:color w:val="FFFFFF"/>
                <w:sz w:val="16"/>
                <w:szCs w:val="16"/>
              </w:rPr>
              <w:t xml:space="preserve">Saldo final</w:t>
            </w:r>
          </w:p>
        </w:tc>
      </w:tr>
      <w:tr>
        <w:tc>
          <w:tcPr>
            <w:tcW w:type="dxa" w:w="1400"/>
            <w:tcMar>
              <w:top w:type="dxa" w:w="90"/>
              <w:left w:type="dxa" w:w="130"/>
              <w:bottom w:type="dxa" w:w="90"/>
              <w:right w:type="dxa" w:w="130"/>
            </w:tcMar>
          </w:tcPr>
          <w:p>
            <w:pPr>
              <w:spacing w:line="264"/>
            </w:pPr>
            <w:r>
              <w:rPr>
                <w:b/>
                <w:bCs/>
                <w:color w:val="05070A"/>
                <w:sz w:val="16"/>
                <w:szCs w:val="16"/>
              </w:rPr>
              <w:t xml:space="preserve">6</w:t>
            </w:r>
          </w:p>
        </w:tc>
        <w:tc>
          <w:tcPr>
            <w:tcW w:type="dxa" w:w="1900"/>
            <w:tcMar>
              <w:top w:type="dxa" w:w="90"/>
              <w:left w:type="dxa" w:w="130"/>
              <w:bottom w:type="dxa" w:w="90"/>
              <w:right w:type="dxa" w:w="130"/>
            </w:tcMar>
          </w:tcPr>
          <w:p>
            <w:pPr>
              <w:spacing w:line="264"/>
            </w:pPr>
            <w:r>
              <w:rPr>
                <w:b w:val="false"/>
                <w:bCs w:val="false"/>
                <w:color w:val="3A4348"/>
                <w:sz w:val="16"/>
                <w:szCs w:val="16"/>
              </w:rPr>
              <w:t xml:space="preserve">27.500 €</w:t>
            </w:r>
          </w:p>
        </w:tc>
        <w:tc>
          <w:tcPr>
            <w:tcW w:type="dxa" w:w="1900"/>
            <w:tcMar>
              <w:top w:type="dxa" w:w="90"/>
              <w:left w:type="dxa" w:w="130"/>
              <w:bottom w:type="dxa" w:w="90"/>
              <w:right w:type="dxa" w:w="130"/>
            </w:tcMar>
          </w:tcPr>
          <w:p>
            <w:pPr>
              <w:spacing w:line="264"/>
            </w:pPr>
            <w:r>
              <w:rPr>
                <w:b w:val="false"/>
                <w:bCs w:val="false"/>
                <w:color w:val="3A4348"/>
                <w:sz w:val="16"/>
                <w:szCs w:val="16"/>
              </w:rPr>
              <w:t xml:space="preserve">4.000 €</w:t>
            </w:r>
          </w:p>
        </w:tc>
        <w:tc>
          <w:tcPr>
            <w:tcW w:type="dxa" w:w="1900"/>
            <w:tcMar>
              <w:top w:type="dxa" w:w="90"/>
              <w:left w:type="dxa" w:w="130"/>
              <w:bottom w:type="dxa" w:w="90"/>
              <w:right w:type="dxa" w:w="130"/>
            </w:tcMar>
          </w:tcPr>
          <w:p>
            <w:pPr>
              <w:spacing w:line="264"/>
            </w:pPr>
            <w:r>
              <w:rPr>
                <w:b w:val="false"/>
                <w:bCs w:val="false"/>
                <w:color w:val="3A4348"/>
                <w:sz w:val="16"/>
                <w:szCs w:val="16"/>
              </w:rPr>
              <w:t xml:space="preserve">10.500 €</w:t>
            </w:r>
          </w:p>
        </w:tc>
        <w:tc>
          <w:tcPr>
            <w:tcW w:type="dxa" w:w="1926"/>
            <w:tcMar>
              <w:top w:type="dxa" w:w="90"/>
              <w:left w:type="dxa" w:w="130"/>
              <w:bottom w:type="dxa" w:w="90"/>
              <w:right w:type="dxa" w:w="130"/>
            </w:tcMar>
          </w:tcPr>
          <w:p>
            <w:pPr>
              <w:spacing w:line="264"/>
            </w:pPr>
            <w:r>
              <w:rPr>
                <w:b w:val="false"/>
                <w:bCs w:val="false"/>
                <w:color w:val="3A4348"/>
                <w:sz w:val="16"/>
                <w:szCs w:val="16"/>
              </w:rPr>
              <w:t xml:space="preserve">21.000 €</w:t>
            </w:r>
          </w:p>
        </w:tc>
      </w:tr>
      <w:tr>
        <w:tc>
          <w:tcPr>
            <w:tcW w:type="dxa" w:w="1400"/>
            <w:tcMar>
              <w:top w:type="dxa" w:w="90"/>
              <w:left w:type="dxa" w:w="130"/>
              <w:bottom w:type="dxa" w:w="90"/>
              <w:right w:type="dxa" w:w="130"/>
            </w:tcMar>
          </w:tcPr>
          <w:p>
            <w:pPr>
              <w:spacing w:line="264"/>
            </w:pPr>
            <w:r>
              <w:rPr>
                <w:b/>
                <w:bCs/>
                <w:color w:val="05070A"/>
                <w:sz w:val="16"/>
                <w:szCs w:val="16"/>
              </w:rPr>
              <w:t xml:space="preserve">7 · (IVA)</w:t>
            </w:r>
          </w:p>
        </w:tc>
        <w:tc>
          <w:tcPr>
            <w:tcW w:type="dxa" w:w="1900"/>
            <w:tcMar>
              <w:top w:type="dxa" w:w="90"/>
              <w:left w:type="dxa" w:w="130"/>
              <w:bottom w:type="dxa" w:w="90"/>
              <w:right w:type="dxa" w:w="130"/>
            </w:tcMar>
          </w:tcPr>
          <w:p>
            <w:pPr>
              <w:spacing w:line="264"/>
            </w:pPr>
            <w:r>
              <w:rPr>
                <w:b w:val="false"/>
                <w:bCs w:val="false"/>
                <w:color w:val="3A4348"/>
                <w:sz w:val="16"/>
                <w:szCs w:val="16"/>
              </w:rPr>
              <w:t xml:space="preserve">21.000 €</w:t>
            </w:r>
          </w:p>
        </w:tc>
        <w:tc>
          <w:tcPr>
            <w:tcW w:type="dxa" w:w="1900"/>
            <w:tcMar>
              <w:top w:type="dxa" w:w="90"/>
              <w:left w:type="dxa" w:w="130"/>
              <w:bottom w:type="dxa" w:w="90"/>
              <w:right w:type="dxa" w:w="130"/>
            </w:tcMar>
          </w:tcPr>
          <w:p>
            <w:pPr>
              <w:spacing w:line="264"/>
            </w:pPr>
            <w:r>
              <w:rPr>
                <w:b w:val="false"/>
                <w:bCs w:val="false"/>
                <w:color w:val="3A4348"/>
                <w:sz w:val="16"/>
                <w:szCs w:val="16"/>
              </w:rPr>
              <w:t xml:space="preserve">3.000 €</w:t>
            </w:r>
          </w:p>
        </w:tc>
        <w:tc>
          <w:tcPr>
            <w:tcW w:type="dxa" w:w="1900"/>
            <w:tcMar>
              <w:top w:type="dxa" w:w="90"/>
              <w:left w:type="dxa" w:w="130"/>
              <w:bottom w:type="dxa" w:w="90"/>
              <w:right w:type="dxa" w:w="130"/>
            </w:tcMar>
          </w:tcPr>
          <w:p>
            <w:pPr>
              <w:spacing w:line="264"/>
            </w:pPr>
            <w:r>
              <w:rPr>
                <w:b w:val="false"/>
                <w:bCs w:val="false"/>
                <w:color w:val="3A4348"/>
                <w:sz w:val="16"/>
                <w:szCs w:val="16"/>
              </w:rPr>
              <w:t xml:space="preserve">9.500 €</w:t>
            </w:r>
          </w:p>
        </w:tc>
        <w:tc>
          <w:tcPr>
            <w:tcW w:type="dxa" w:w="1926"/>
            <w:tcMar>
              <w:top w:type="dxa" w:w="90"/>
              <w:left w:type="dxa" w:w="130"/>
              <w:bottom w:type="dxa" w:w="90"/>
              <w:right w:type="dxa" w:w="130"/>
            </w:tcMar>
          </w:tcPr>
          <w:p>
            <w:pPr>
              <w:spacing w:line="264"/>
            </w:pPr>
            <w:r>
              <w:rPr>
                <w:b w:val="false"/>
                <w:bCs w:val="false"/>
                <w:color w:val="3A4348"/>
                <w:sz w:val="16"/>
                <w:szCs w:val="16"/>
              </w:rPr>
              <w:t xml:space="preserve">14.500 € ⚠</w:t>
            </w:r>
          </w:p>
        </w:tc>
      </w:tr>
      <w:tr>
        <w:tc>
          <w:tcPr>
            <w:tcW w:type="dxa" w:w="1400"/>
            <w:tcMar>
              <w:top w:type="dxa" w:w="90"/>
              <w:left w:type="dxa" w:w="130"/>
              <w:bottom w:type="dxa" w:w="90"/>
              <w:right w:type="dxa" w:w="130"/>
            </w:tcMar>
          </w:tcPr>
          <w:p>
            <w:pPr>
              <w:spacing w:line="264"/>
            </w:pPr>
            <w:r>
              <w:rPr>
                <w:b/>
                <w:bCs/>
                <w:color w:val="05070A"/>
                <w:sz w:val="16"/>
                <w:szCs w:val="16"/>
              </w:rPr>
              <w:t xml:space="preserve">8</w:t>
            </w:r>
          </w:p>
        </w:tc>
        <w:tc>
          <w:tcPr>
            <w:tcW w:type="dxa" w:w="1900"/>
            <w:tcMar>
              <w:top w:type="dxa" w:w="90"/>
              <w:left w:type="dxa" w:w="130"/>
              <w:bottom w:type="dxa" w:w="90"/>
              <w:right w:type="dxa" w:w="130"/>
            </w:tcMar>
          </w:tcPr>
          <w:p>
            <w:pPr>
              <w:spacing w:line="264"/>
            </w:pPr>
            <w:r>
              <w:rPr>
                <w:b w:val="false"/>
                <w:bCs w:val="false"/>
                <w:color w:val="3A4348"/>
                <w:sz w:val="16"/>
                <w:szCs w:val="16"/>
              </w:rPr>
              <w:t xml:space="preserve">14.500 €</w:t>
            </w:r>
          </w:p>
        </w:tc>
        <w:tc>
          <w:tcPr>
            <w:tcW w:type="dxa" w:w="1900"/>
            <w:tcMar>
              <w:top w:type="dxa" w:w="90"/>
              <w:left w:type="dxa" w:w="130"/>
              <w:bottom w:type="dxa" w:w="90"/>
              <w:right w:type="dxa" w:w="130"/>
            </w:tcMar>
          </w:tcPr>
          <w:p>
            <w:pPr>
              <w:spacing w:line="264"/>
            </w:pPr>
            <w:r>
              <w:rPr>
                <w:b w:val="false"/>
                <w:bCs w:val="false"/>
                <w:color w:val="3A4348"/>
                <w:sz w:val="16"/>
                <w:szCs w:val="16"/>
              </w:rPr>
              <w:t xml:space="preserve">6.000 €</w:t>
            </w:r>
          </w:p>
        </w:tc>
        <w:tc>
          <w:tcPr>
            <w:tcW w:type="dxa" w:w="1900"/>
            <w:tcMar>
              <w:top w:type="dxa" w:w="90"/>
              <w:left w:type="dxa" w:w="130"/>
              <w:bottom w:type="dxa" w:w="90"/>
              <w:right w:type="dxa" w:w="130"/>
            </w:tcMar>
          </w:tcPr>
          <w:p>
            <w:pPr>
              <w:spacing w:line="264"/>
            </w:pPr>
            <w:r>
              <w:rPr>
                <w:b w:val="false"/>
                <w:bCs w:val="false"/>
                <w:color w:val="3A4348"/>
                <w:sz w:val="16"/>
                <w:szCs w:val="16"/>
              </w:rPr>
              <w:t xml:space="preserve">10.500 €</w:t>
            </w:r>
          </w:p>
        </w:tc>
        <w:tc>
          <w:tcPr>
            <w:tcW w:type="dxa" w:w="1926"/>
            <w:tcMar>
              <w:top w:type="dxa" w:w="90"/>
              <w:left w:type="dxa" w:w="130"/>
              <w:bottom w:type="dxa" w:w="90"/>
              <w:right w:type="dxa" w:w="130"/>
            </w:tcMar>
          </w:tcPr>
          <w:p>
            <w:pPr>
              <w:spacing w:line="264"/>
            </w:pPr>
            <w:r>
              <w:rPr>
                <w:b w:val="false"/>
                <w:bCs w:val="false"/>
                <w:color w:val="3A4348"/>
                <w:sz w:val="16"/>
                <w:szCs w:val="16"/>
              </w:rPr>
              <w:t xml:space="preserve">10.000 € ⚠</w:t>
            </w:r>
          </w:p>
        </w:tc>
      </w:tr>
      <w:tr>
        <w:tc>
          <w:tcPr>
            <w:tcW w:type="dxa" w:w="1400"/>
            <w:tcMar>
              <w:top w:type="dxa" w:w="90"/>
              <w:left w:type="dxa" w:w="130"/>
              <w:bottom w:type="dxa" w:w="90"/>
              <w:right w:type="dxa" w:w="130"/>
            </w:tcMar>
          </w:tcPr>
          <w:p>
            <w:pPr>
              <w:spacing w:line="264"/>
            </w:pPr>
            <w:r>
              <w:rPr>
                <w:b/>
                <w:bCs/>
                <w:color w:val="05070A"/>
                <w:sz w:val="16"/>
                <w:szCs w:val="16"/>
              </w:rPr>
              <w:t xml:space="preserve">10 · (mínimo)</w:t>
            </w:r>
          </w:p>
        </w:tc>
        <w:tc>
          <w:tcPr>
            <w:tcW w:type="dxa" w:w="1900"/>
            <w:tcMar>
              <w:top w:type="dxa" w:w="90"/>
              <w:left w:type="dxa" w:w="130"/>
              <w:bottom w:type="dxa" w:w="90"/>
              <w:right w:type="dxa" w:w="130"/>
            </w:tcMar>
          </w:tcPr>
          <w:p>
            <w:pPr>
              <w:spacing w:line="264"/>
            </w:pPr>
            <w:r>
              <w:rPr>
                <w:b w:val="false"/>
                <w:bCs w:val="false"/>
                <w:color w:val="3A4348"/>
                <w:sz w:val="16"/>
                <w:szCs w:val="16"/>
              </w:rPr>
              <w:t xml:space="preserve">14.500 €</w:t>
            </w:r>
          </w:p>
        </w:tc>
        <w:tc>
          <w:tcPr>
            <w:tcW w:type="dxa" w:w="1900"/>
            <w:tcMar>
              <w:top w:type="dxa" w:w="90"/>
              <w:left w:type="dxa" w:w="130"/>
              <w:bottom w:type="dxa" w:w="90"/>
              <w:right w:type="dxa" w:w="130"/>
            </w:tcMar>
          </w:tcPr>
          <w:p>
            <w:pPr>
              <w:spacing w:line="264"/>
            </w:pPr>
            <w:r>
              <w:rPr>
                <w:b w:val="false"/>
                <w:bCs w:val="false"/>
                <w:color w:val="3A4348"/>
                <w:sz w:val="16"/>
                <w:szCs w:val="16"/>
              </w:rPr>
              <w:t xml:space="preserve">3.000 €</w:t>
            </w:r>
          </w:p>
        </w:tc>
        <w:tc>
          <w:tcPr>
            <w:tcW w:type="dxa" w:w="1900"/>
            <w:tcMar>
              <w:top w:type="dxa" w:w="90"/>
              <w:left w:type="dxa" w:w="130"/>
              <w:bottom w:type="dxa" w:w="90"/>
              <w:right w:type="dxa" w:w="130"/>
            </w:tcMar>
          </w:tcPr>
          <w:p>
            <w:pPr>
              <w:spacing w:line="264"/>
            </w:pPr>
            <w:r>
              <w:rPr>
                <w:b w:val="false"/>
                <w:bCs w:val="false"/>
                <w:color w:val="3A4348"/>
                <w:sz w:val="16"/>
                <w:szCs w:val="16"/>
              </w:rPr>
              <w:t xml:space="preserve">10.500 €</w:t>
            </w:r>
          </w:p>
        </w:tc>
        <w:tc>
          <w:tcPr>
            <w:tcW w:type="dxa" w:w="1926"/>
            <w:tcMar>
              <w:top w:type="dxa" w:w="90"/>
              <w:left w:type="dxa" w:w="130"/>
              <w:bottom w:type="dxa" w:w="90"/>
              <w:right w:type="dxa" w:w="130"/>
            </w:tcMar>
          </w:tcPr>
          <w:p>
            <w:pPr>
              <w:spacing w:line="264"/>
            </w:pPr>
            <w:r>
              <w:rPr>
                <w:b w:val="false"/>
                <w:bCs w:val="false"/>
                <w:color w:val="3A4348"/>
                <w:sz w:val="16"/>
                <w:szCs w:val="16"/>
              </w:rPr>
              <w:t xml:space="preserve">7.000 € 🔴</w:t>
            </w:r>
          </w:p>
        </w:tc>
      </w:tr>
      <w:tr>
        <w:tc>
          <w:tcPr>
            <w:tcW w:type="dxa" w:w="1400"/>
            <w:tcMar>
              <w:top w:type="dxa" w:w="90"/>
              <w:left w:type="dxa" w:w="130"/>
              <w:bottom w:type="dxa" w:w="90"/>
              <w:right w:type="dxa" w:w="130"/>
            </w:tcMar>
          </w:tcPr>
          <w:p>
            <w:pPr>
              <w:spacing w:line="264"/>
            </w:pPr>
            <w:r>
              <w:rPr>
                <w:b/>
                <w:bCs/>
                <w:color w:val="05070A"/>
                <w:sz w:val="16"/>
                <w:szCs w:val="16"/>
              </w:rPr>
              <w:t xml:space="preserve">11</w:t>
            </w:r>
          </w:p>
        </w:tc>
        <w:tc>
          <w:tcPr>
            <w:tcW w:type="dxa" w:w="1900"/>
            <w:tcMar>
              <w:top w:type="dxa" w:w="90"/>
              <w:left w:type="dxa" w:w="130"/>
              <w:bottom w:type="dxa" w:w="90"/>
              <w:right w:type="dxa" w:w="130"/>
            </w:tcMar>
          </w:tcPr>
          <w:p>
            <w:pPr>
              <w:spacing w:line="264"/>
            </w:pPr>
            <w:r>
              <w:rPr>
                <w:b w:val="false"/>
                <w:bCs w:val="false"/>
                <w:color w:val="3A4348"/>
                <w:sz w:val="16"/>
                <w:szCs w:val="16"/>
              </w:rPr>
              <w:t xml:space="preserve">7.000 €</w:t>
            </w:r>
          </w:p>
        </w:tc>
        <w:tc>
          <w:tcPr>
            <w:tcW w:type="dxa" w:w="1900"/>
            <w:tcMar>
              <w:top w:type="dxa" w:w="90"/>
              <w:left w:type="dxa" w:w="130"/>
              <w:bottom w:type="dxa" w:w="90"/>
              <w:right w:type="dxa" w:w="130"/>
            </w:tcMar>
          </w:tcPr>
          <w:p>
            <w:pPr>
              <w:spacing w:line="264"/>
            </w:pPr>
            <w:r>
              <w:rPr>
                <w:b w:val="false"/>
                <w:bCs w:val="false"/>
                <w:color w:val="3A4348"/>
                <w:sz w:val="16"/>
                <w:szCs w:val="16"/>
              </w:rPr>
              <w:t xml:space="preserve">11.000 €</w:t>
            </w:r>
          </w:p>
        </w:tc>
        <w:tc>
          <w:tcPr>
            <w:tcW w:type="dxa" w:w="1900"/>
            <w:tcMar>
              <w:top w:type="dxa" w:w="90"/>
              <w:left w:type="dxa" w:w="130"/>
              <w:bottom w:type="dxa" w:w="90"/>
              <w:right w:type="dxa" w:w="130"/>
            </w:tcMar>
          </w:tcPr>
          <w:p>
            <w:pPr>
              <w:spacing w:line="264"/>
            </w:pPr>
            <w:r>
              <w:rPr>
                <w:b w:val="false"/>
                <w:bCs w:val="false"/>
                <w:color w:val="3A4348"/>
                <w:sz w:val="16"/>
                <w:szCs w:val="16"/>
              </w:rPr>
              <w:t xml:space="preserve">1.500 €</w:t>
            </w:r>
          </w:p>
        </w:tc>
        <w:tc>
          <w:tcPr>
            <w:tcW w:type="dxa" w:w="1926"/>
            <w:tcMar>
              <w:top w:type="dxa" w:w="90"/>
              <w:left w:type="dxa" w:w="130"/>
              <w:bottom w:type="dxa" w:w="90"/>
              <w:right w:type="dxa" w:w="130"/>
            </w:tcMar>
          </w:tcPr>
          <w:p>
            <w:pPr>
              <w:spacing w:line="264"/>
            </w:pPr>
            <w:r>
              <w:rPr>
                <w:b w:val="false"/>
                <w:bCs w:val="false"/>
                <w:color w:val="3A4348"/>
                <w:sz w:val="16"/>
                <w:szCs w:val="16"/>
              </w:rPr>
              <w:t xml:space="preserve">16.500 €</w:t>
            </w:r>
          </w:p>
        </w:tc>
      </w:tr>
    </w:tbl>
    <w:p>
      <w:pPr>
        <w:spacing w:after="120" w:line="288"/>
      </w:pPr>
      <w:r>
        <w:rPr>
          <w:i w:val="false"/>
          <w:iCs w:val="false"/>
          <w:color w:val="3A4348"/>
          <w:sz w:val="20"/>
          <w:szCs w:val="20"/>
        </w:rPr>
        <w:t xml:space="preserve">Entre las semanas 7 y 12 la caja se hunde por debajo del suelo de quince mil, con un punto más bajo de siete mil en la semana 10 —ocho mil por debajo de la línea roja, justo con una nómina encima—. Pero el panel lo ha enseñado en la semana 1: hay seis semanas de margen para actuar. ¿Qué dispara, sin vender más? Adelantar diez días el cobro de una factura grande (con unas ventas de unos novecientos euros al día, eso libera cerca de nueve mil, suficiente para tapar el hueco); mover una remesa de proveedores de la semana 10 a la 11, cuando entran once mil; tener el IVA ya reservado en su cuenta para que la semana 7 no toque la caja operativa; y confirmar una línea de crédito antes de la semana 7, no en la 10. La moraleja: la empresa es rentable, pero sin este cuadro habría descubierto el problema en la semana 10, con la nómina delante y sin salidas buenas.</w:t>
      </w:r>
    </w:p>
    <w:p>
      <w:pPr>
        <w:spacing w:after="55" w:before="170"/>
      </w:pPr>
      <w:r>
        <w:rPr>
          <w:b/>
          <w:bCs/>
          <w:color w:val="05070A"/>
          <w:sz w:val="18"/>
          <w:szCs w:val="18"/>
        </w:rPr>
        <w:t xml:space="preserve">Los errores de caja que hunden pymes buenas</w:t>
      </w:r>
    </w:p>
    <w:p>
      <w:pPr>
        <w:spacing w:after="120" w:line="288"/>
      </w:pPr>
      <w:r>
        <w:rPr>
          <w:i w:val="false"/>
          <w:iCs w:val="false"/>
          <w:color w:val="3A4348"/>
          <w:sz w:val="20"/>
          <w:szCs w:val="20"/>
        </w:rPr>
        <w:t xml:space="preserve">Conviene nombrarlos, porque son sorprendentemente universales. Mirar solo el saldo del banco de hoy, que no dice nada de la posición dentro de treinta o sesenta días. No tener ninguna previsión, y descubrir el apretón el día que llega. Crecer más rápido que la caja: más ventas significan más nómina, más anticipos y más compras antes de cobrar, y el crecimiento sin caja mata. Cobrar flojo: un ingreso en el papel no es nada si el dinero no llega, y una factura que se deja envejecer pierde probabilidad de cobrarse con cada mes que pasa. Mezclar las finanzas personales y las del negocio, que hace imposible ver la posición real. Y comprometer gastos fijos sobre ingresos futuros optimistas, en vez de sobre el escenario conservador. El panel de caja, con su rutina semanal, es la vacuna contra los seis.</w:t>
      </w:r>
    </w:p>
    <w:p>
      <w:pPr>
        <w:spacing w:after="110" w:before="300"/>
      </w:pPr>
      <w:r>
        <w:rPr>
          <w:b/>
          <w:bCs/>
          <w:color w:val="0C6F7F"/>
          <w:spacing w:val="15"/>
          <w:sz w:val="21"/>
          <w:szCs w:val="21"/>
        </w:rPr>
        <w:t xml:space="preserve">4 · Resultado e impacto</w:t>
      </w:r>
    </w:p>
    <w:p>
      <w:pPr>
        <w:pStyle w:val="ListParagraph"/>
        <w:numPr>
          <w:ilvl w:val="0"/>
          <w:numId w:val="2"/>
        </w:numPr>
        <w:spacing w:after="72" w:line="282"/>
      </w:pPr>
      <w:r>
        <w:rPr>
          <w:b/>
          <w:bCs/>
          <w:color w:val="05070A"/>
          <w:sz w:val="20"/>
          <w:szCs w:val="20"/>
        </w:rPr>
        <w:t xml:space="preserve">Si se hace bien: </w:t>
      </w:r>
      <w:r>
        <w:rPr>
          <w:color w:val="3A4348"/>
          <w:sz w:val="20"/>
          <w:szCs w:val="20"/>
        </w:rPr>
        <w:t xml:space="preserve">la empresa ve los apretones de caja con semanas de antelación y los resuelve con calma; libera dinero cambiando el ritmo de cobros y pagos sin vender más; tiene los impuestos reservados antes de su fecha; y decide con la tesorería delante, no a ciegas.</w:t>
      </w:r>
    </w:p>
    <w:p>
      <w:pPr>
        <w:pStyle w:val="ListParagraph"/>
        <w:numPr>
          <w:ilvl w:val="0"/>
          <w:numId w:val="2"/>
        </w:numPr>
        <w:spacing w:after="72" w:line="282"/>
      </w:pPr>
      <w:r>
        <w:rPr>
          <w:b/>
          <w:bCs/>
          <w:color w:val="05070A"/>
          <w:sz w:val="20"/>
          <w:szCs w:val="20"/>
        </w:rPr>
        <w:t xml:space="preserve">Si no se hace, o se hace mal: </w:t>
      </w:r>
      <w:r>
        <w:rPr>
          <w:color w:val="3A4348"/>
          <w:sz w:val="20"/>
          <w:szCs w:val="20"/>
        </w:rPr>
        <w:t xml:space="preserve">la empresa mira solo el saldo del banco de hoy —que no dice nada de dentro de un mes—, descubre los problemas el día que llegan, crece hasta ahogarse en su propia caja, y confunde ser rentable con tener dinero. Un panel que solo mira meses, o que nadie refresca, da una falsa tranquilidad hasta el día del susto.</w:t>
      </w:r>
    </w:p>
    <w:p>
      <w:pPr>
        <w:spacing w:after="110" w:before="300"/>
      </w:pPr>
      <w:r>
        <w:rPr>
          <w:b/>
          <w:bCs/>
          <w:color w:val="0C6F7F"/>
          <w:spacing w:val="15"/>
          <w:sz w:val="21"/>
          <w:szCs w:val="21"/>
        </w:rPr>
        <w:t xml:space="preserve">5 · La escala de madurez (1-10)</w:t>
      </w:r>
    </w:p>
    <w:tbl>
      <w:tblPr>
        <w:tblW w:type="dxa" w:w="9026"/>
        <w:tblBorders>
          <w:top w:val="single" w:color="D5DCDD" w:sz="4"/>
          <w:left w:val="single" w:color="D5DCDD" w:sz="4"/>
          <w:bottom w:val="single" w:color="D5DCDD" w:sz="4"/>
          <w:right w:val="single" w:color="D5DCDD" w:sz="4"/>
          <w:insideH w:val="single" w:color="D5DCDD" w:sz="4"/>
          <w:insideV w:val="single" w:color="D5DCDD" w:sz="4"/>
        </w:tblBorders>
      </w:tblPr>
      <w:tblGrid>
        <w:gridCol w:w="2100"/>
        <w:gridCol w:w="6926"/>
      </w:tblGrid>
      <w:tr>
        <w:trPr>
          <w:tblHeader/>
        </w:trPr>
        <w:tc>
          <w:tcPr>
            <w:tcW w:type="dxa" w:w="2100"/>
            <w:shd w:fill="0C6F7F" w:color="auto" w:val="clear"/>
            <w:tcMar>
              <w:top w:type="dxa" w:w="90"/>
              <w:left w:type="dxa" w:w="130"/>
              <w:bottom w:type="dxa" w:w="90"/>
              <w:right w:type="dxa" w:w="130"/>
            </w:tcMar>
          </w:tcPr>
          <w:p>
            <w:r>
              <w:rPr>
                <w:b/>
                <w:bCs/>
                <w:color w:val="FFFFFF"/>
                <w:sz w:val="16"/>
                <w:szCs w:val="16"/>
              </w:rPr>
              <w:t xml:space="preserve">Zona</w:t>
            </w:r>
          </w:p>
        </w:tc>
        <w:tc>
          <w:tcPr>
            <w:tcW w:type="dxa" w:w="6926"/>
            <w:shd w:fill="0C6F7F" w:color="auto" w:val="clear"/>
            <w:tcMar>
              <w:top w:type="dxa" w:w="90"/>
              <w:left w:type="dxa" w:w="130"/>
              <w:bottom w:type="dxa" w:w="90"/>
              <w:right w:type="dxa" w:w="130"/>
            </w:tcMar>
          </w:tcPr>
          <w:p>
            <w:r>
              <w:rPr>
                <w:b/>
                <w:bCs/>
                <w:color w:val="FFFFFF"/>
                <w:sz w:val="16"/>
                <w:szCs w:val="16"/>
              </w:rPr>
              <w:t xml:space="preserve">Cómo se ve el panel de caja</w:t>
            </w:r>
          </w:p>
        </w:tc>
      </w:tr>
      <w:tr>
        <w:tc>
          <w:tcPr>
            <w:tcW w:type="dxa" w:w="2100"/>
            <w:tcMar>
              <w:top w:type="dxa" w:w="90"/>
              <w:left w:type="dxa" w:w="130"/>
              <w:bottom w:type="dxa" w:w="90"/>
              <w:right w:type="dxa" w:w="130"/>
            </w:tcMar>
          </w:tcPr>
          <w:p>
            <w:pPr>
              <w:spacing w:line="264"/>
            </w:pPr>
            <w:r>
              <w:rPr>
                <w:b/>
                <w:bCs/>
                <w:color w:val="05070A"/>
                <w:sz w:val="16"/>
                <w:szCs w:val="16"/>
              </w:rPr>
              <w:t xml:space="preserve">1-2 · Inexistente</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Solo se mira el saldo del banco de hoy; los apretones se descubren el día que llegan.</w:t>
            </w:r>
          </w:p>
        </w:tc>
      </w:tr>
      <w:tr>
        <w:tc>
          <w:tcPr>
            <w:tcW w:type="dxa" w:w="2100"/>
            <w:tcMar>
              <w:top w:type="dxa" w:w="90"/>
              <w:left w:type="dxa" w:w="130"/>
              <w:bottom w:type="dxa" w:w="90"/>
              <w:right w:type="dxa" w:w="130"/>
            </w:tcMar>
          </w:tcPr>
          <w:p>
            <w:pPr>
              <w:spacing w:line="264"/>
            </w:pPr>
            <w:r>
              <w:rPr>
                <w:b/>
                <w:bCs/>
                <w:color w:val="05070A"/>
                <w:sz w:val="16"/>
                <w:szCs w:val="16"/>
              </w:rPr>
              <w:t xml:space="preserve">3-4 · Tácito</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El dueño lleva la caja «en la cabeza», con corazonadas; no hay previsión escrita.</w:t>
            </w:r>
          </w:p>
        </w:tc>
      </w:tr>
      <w:tr>
        <w:tc>
          <w:tcPr>
            <w:tcW w:type="dxa" w:w="2100"/>
            <w:tcMar>
              <w:top w:type="dxa" w:w="90"/>
              <w:left w:type="dxa" w:w="130"/>
              <w:bottom w:type="dxa" w:w="90"/>
              <w:right w:type="dxa" w:w="130"/>
            </w:tcMar>
          </w:tcPr>
          <w:p>
            <w:pPr>
              <w:spacing w:line="264"/>
            </w:pPr>
            <w:r>
              <w:rPr>
                <w:b/>
                <w:bCs/>
                <w:color w:val="05070A"/>
                <w:sz w:val="16"/>
                <w:szCs w:val="16"/>
              </w:rPr>
              <w:t xml:space="preserve">5-6 · Documentado</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Hay alguna previsión, pero mensual, o no se refresca, o no se lee contra un suelo mínimo.</w:t>
            </w:r>
          </w:p>
        </w:tc>
      </w:tr>
      <w:tr>
        <w:tc>
          <w:tcPr>
            <w:tcW w:type="dxa" w:w="2100"/>
            <w:tcMar>
              <w:top w:type="dxa" w:w="90"/>
              <w:left w:type="dxa" w:w="130"/>
              <w:bottom w:type="dxa" w:w="90"/>
              <w:right w:type="dxa" w:w="130"/>
            </w:tcMar>
          </w:tcPr>
          <w:p>
            <w:pPr>
              <w:spacing w:line="264"/>
            </w:pPr>
            <w:r>
              <w:rPr>
                <w:b/>
                <w:bCs/>
                <w:color w:val="05070A"/>
                <w:sz w:val="16"/>
                <w:szCs w:val="16"/>
              </w:rPr>
              <w:t xml:space="preserve">7-8 · Operativo</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Previsión rodante a 13 semanas, refrescada cada semana, leída contra el suelo, con impuestos reservados.</w:t>
            </w:r>
          </w:p>
        </w:tc>
      </w:tr>
      <w:tr>
        <w:tc>
          <w:tcPr>
            <w:tcW w:type="dxa" w:w="2100"/>
            <w:tcMar>
              <w:top w:type="dxa" w:w="90"/>
              <w:left w:type="dxa" w:w="130"/>
              <w:bottom w:type="dxa" w:w="90"/>
              <w:right w:type="dxa" w:w="130"/>
            </w:tcMar>
          </w:tcPr>
          <w:p>
            <w:pPr>
              <w:spacing w:line="264"/>
            </w:pPr>
            <w:r>
              <w:rPr>
                <w:b/>
                <w:bCs/>
                <w:color w:val="05070A"/>
                <w:sz w:val="16"/>
                <w:szCs w:val="16"/>
              </w:rPr>
              <w:t xml:space="preserve">9-10 · Optimizable por IA</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Tan estructurada (cobros, pagos, suelo, precisión) que un agente proyecta la caja, vigila el punto bajo y avisa antes.</w:t>
            </w:r>
          </w:p>
        </w:tc>
      </w:tr>
    </w:tbl>
    <w:p>
      <w:pPr>
        <w:spacing w:after="110" w:before="300"/>
      </w:pPr>
      <w:r>
        <w:rPr>
          <w:b/>
          <w:bCs/>
          <w:color w:val="0C6F7F"/>
          <w:spacing w:val="15"/>
          <w:sz w:val="21"/>
          <w:szCs w:val="21"/>
        </w:rPr>
        <w:t xml:space="preserve">6 · Entradas y salidas</w:t>
      </w:r>
    </w:p>
    <w:p>
      <w:pPr>
        <w:pStyle w:val="ListParagraph"/>
        <w:numPr>
          <w:ilvl w:val="0"/>
          <w:numId w:val="2"/>
        </w:numPr>
        <w:spacing w:after="72" w:line="282"/>
      </w:pPr>
      <w:r>
        <w:rPr>
          <w:b/>
          <w:bCs/>
          <w:color w:val="05070A"/>
          <w:sz w:val="20"/>
          <w:szCs w:val="20"/>
        </w:rPr>
        <w:t xml:space="preserve">De qué depende. </w:t>
      </w:r>
      <w:r>
        <w:rPr>
          <w:color w:val="3A4348"/>
          <w:sz w:val="20"/>
          <w:szCs w:val="20"/>
        </w:rPr>
        <w:t xml:space="preserve">Del Rumbo, bloque Caja y North Stars (pieza 4), que fija el suelo sagrado y las palancas de caja; y de los procesos de cobro y pago (06-07), de donde salen las fechas reales del dinero — cuándo se factura, cuándo se cobra, cuándo se paga.</w:t>
      </w:r>
    </w:p>
    <w:p>
      <w:pPr>
        <w:pStyle w:val="ListParagraph"/>
        <w:numPr>
          <w:ilvl w:val="0"/>
          <w:numId w:val="2"/>
        </w:numPr>
        <w:spacing w:after="72" w:line="282"/>
      </w:pPr>
      <w:r>
        <w:rPr>
          <w:b/>
          <w:bCs/>
          <w:color w:val="05070A"/>
          <w:sz w:val="20"/>
          <w:szCs w:val="20"/>
        </w:rPr>
        <w:t xml:space="preserve">Qué alimenta. </w:t>
      </w:r>
      <w:r>
        <w:rPr>
          <w:color w:val="3A4348"/>
          <w:sz w:val="20"/>
          <w:szCs w:val="20"/>
        </w:rPr>
        <w:t xml:space="preserve">Al Panel de indicadores (12), donde viven la caja, el runway, los días de cobro y la precisión de la previsión como KPIs vigilados; a las decisiones de la dirección (invertir, contratar, comprometer un gasto) — que dejan de tomarse a ciegas; y a la Matriz de decisiones (04), porque el suelo de caja marca hasta dónde se puede gastar sin escalar.</w:t>
      </w:r>
    </w:p>
    <w:p>
      <w:pPr>
        <w:spacing w:after="110" w:before="300"/>
      </w:pPr>
      <w:r>
        <w:rPr>
          <w:b/>
          <w:bCs/>
          <w:color w:val="0C6F7F"/>
          <w:spacing w:val="15"/>
          <w:sz w:val="21"/>
          <w:szCs w:val="21"/>
        </w:rPr>
        <w:t xml:space="preserve">7 · Cómo se lleva al equipo</w:t>
      </w:r>
    </w:p>
    <w:p>
      <w:pPr>
        <w:spacing w:after="120" w:line="288"/>
      </w:pPr>
      <w:r>
        <w:rPr>
          <w:i w:val="false"/>
          <w:iCs w:val="false"/>
          <w:color w:val="3A4348"/>
          <w:sz w:val="20"/>
          <w:szCs w:val="20"/>
        </w:rPr>
        <w:t xml:space="preserve">La caja da miedo y vergüenza a partes iguales: muchos dueños no la miran porque temen lo que van a ver, y muchos empleados creen que «los números» no son cosa suya. La adopción se juega en desdramatizar. No se trata de convertir a nadie en financiero, sino de que quien lleva el dinero tenga una rutina fija y sencilla —veinte minutos un día fijo de la semana— y de que el resto del equipo entienda cómo su trabajo mueve la caja: el comercial que cobra por anticipado, el que factura el mismo día que entrega, el que persigue una factura vencida sin miedo. Cuando el equipo ve que el panel no es para controlarlos sino para que la empresa no se quede sin gasolina —y con ella sus nóminas—, deja de ser un tema tabú de despacho y se vuelve una responsabilidad compartida. Y ayuda enormemente empezar simple: una tabla de trece semanas y cinco números de cabecera, no un modelo financiero que asuste.</w:t>
      </w:r>
    </w:p>
    <w:p>
      <w:pPr>
        <w:spacing w:after="110" w:before="300"/>
      </w:pPr>
      <w:r>
        <w:rPr>
          <w:b/>
          <w:bCs/>
          <w:color w:val="0C6F7F"/>
          <w:spacing w:val="15"/>
          <w:sz w:val="21"/>
          <w:szCs w:val="21"/>
        </w:rPr>
        <w:t xml:space="preserve">8 · Cómo se rellena</w:t>
      </w:r>
    </w:p>
    <w:p>
      <w:pPr>
        <w:pStyle w:val="ListParagraph"/>
        <w:numPr>
          <w:ilvl w:val="0"/>
          <w:numId w:val="3"/>
        </w:numPr>
        <w:spacing w:after="92" w:line="282"/>
      </w:pPr>
      <w:r>
        <w:rPr>
          <w:b/>
          <w:bCs/>
          <w:color w:val="05070A"/>
          <w:sz w:val="20"/>
          <w:szCs w:val="20"/>
        </w:rPr>
        <w:t xml:space="preserve">Cuadra el saldo de partida con el banco. </w:t>
      </w:r>
      <w:r>
        <w:rPr>
          <w:color w:val="3A4348"/>
          <w:sz w:val="20"/>
          <w:szCs w:val="20"/>
        </w:rPr>
        <w:t xml:space="preserve">El saldo inicial es el del extracto bancario conciliado, no el del libro contable. Excluye caja que no puedas tocar.</w:t>
      </w:r>
    </w:p>
    <w:p>
      <w:pPr>
        <w:pStyle w:val="ListParagraph"/>
        <w:numPr>
          <w:ilvl w:val="0"/>
          <w:numId w:val="3"/>
        </w:numPr>
        <w:spacing w:after="92" w:line="282"/>
      </w:pPr>
      <w:r>
        <w:rPr>
          <w:b/>
          <w:bCs/>
          <w:color w:val="05070A"/>
          <w:sz w:val="20"/>
          <w:szCs w:val="20"/>
        </w:rPr>
        <w:t xml:space="preserve">Pon los cobros por cuándo llegarán de verdad. </w:t>
      </w:r>
      <w:r>
        <w:rPr>
          <w:color w:val="3A4348"/>
          <w:sz w:val="20"/>
          <w:szCs w:val="20"/>
        </w:rPr>
        <w:t xml:space="preserve">Desde tu lista de facturas pendientes, fechados por cuándo esperas el dinero en el banco (no por el vencimiento). Separa lo comprometido de lo que es previsión.</w:t>
      </w:r>
    </w:p>
    <w:p>
      <w:pPr>
        <w:pStyle w:val="ListParagraph"/>
        <w:numPr>
          <w:ilvl w:val="0"/>
          <w:numId w:val="3"/>
        </w:numPr>
        <w:spacing w:after="92" w:line="282"/>
      </w:pPr>
      <w:r>
        <w:rPr>
          <w:b/>
          <w:bCs/>
          <w:color w:val="05070A"/>
          <w:sz w:val="20"/>
          <w:szCs w:val="20"/>
        </w:rPr>
        <w:t xml:space="preserve">Pon los pagos ciertos primero. </w:t>
      </w:r>
      <w:r>
        <w:rPr>
          <w:color w:val="3A4348"/>
          <w:sz w:val="20"/>
          <w:szCs w:val="20"/>
        </w:rPr>
        <w:t xml:space="preserve">Nómina y Seguridad Social en su fecha e importe exactos —son el ancla—, luego proveedores, fijos, impuestos en su fecha oficial y las inversiones. Reserva los impuestos aparte (Profit First).</w:t>
      </w:r>
    </w:p>
    <w:p>
      <w:pPr>
        <w:pStyle w:val="ListParagraph"/>
        <w:numPr>
          <w:ilvl w:val="0"/>
          <w:numId w:val="3"/>
        </w:numPr>
        <w:spacing w:after="92" w:line="282"/>
      </w:pPr>
      <w:r>
        <w:rPr>
          <w:b/>
          <w:bCs/>
          <w:color w:val="05070A"/>
          <w:sz w:val="20"/>
          <w:szCs w:val="20"/>
        </w:rPr>
        <w:t xml:space="preserve">Lee el punto más bajo contra el suelo. </w:t>
      </w:r>
      <w:r>
        <w:rPr>
          <w:color w:val="3A4348"/>
          <w:sz w:val="20"/>
          <w:szCs w:val="20"/>
        </w:rPr>
        <w:t xml:space="preserve">Encadena las semanas (saldo final = inicial de la siguiente). Marca el punto más bajo y compáralo con tu suelo sagrado. Si baja de la línea, ahí está la alarma.</w:t>
      </w:r>
    </w:p>
    <w:p>
      <w:pPr>
        <w:pStyle w:val="ListParagraph"/>
        <w:numPr>
          <w:ilvl w:val="0"/>
          <w:numId w:val="3"/>
        </w:numPr>
        <w:spacing w:after="92" w:line="282"/>
      </w:pPr>
      <w:r>
        <w:rPr>
          <w:b/>
          <w:bCs/>
          <w:color w:val="05070A"/>
          <w:sz w:val="20"/>
          <w:szCs w:val="20"/>
        </w:rPr>
        <w:t xml:space="preserve">Refréscalo cada semana y mide tu acierto. </w:t>
      </w:r>
      <w:r>
        <w:rPr>
          <w:color w:val="3A4348"/>
          <w:sz w:val="20"/>
          <w:szCs w:val="20"/>
        </w:rPr>
        <w:t xml:space="preserve">Sustituye la semana cerrada por lo real, añade una nueva al final, y anota cuánto te desviaste para ir afinando.</w:t>
      </w:r>
    </w:p>
    <w:tbl>
      <w:tblPr>
        <w:tblW w:type="dxa" w:w="9026"/>
        <w:tblBorders>
          <w:top w:val="none"/>
          <w:left w:val="single" w:color="0C6F7F" w:sz="18"/>
          <w:bottom w:val="none"/>
          <w:right w:val="none"/>
          <w:insideH w:val="none"/>
          <w:insideV w:val="none"/>
        </w:tblBorders>
      </w:tblPr>
      <w:tblGrid>
        <w:gridCol w:w="9026"/>
      </w:tblGrid>
      <w:tr>
        <w:tc>
          <w:tcPr>
            <w:tcW w:type="dxa" w:w="9026"/>
            <w:shd w:fill="F3EEDC" w:color="auto" w:val="clear"/>
            <w:tcMar>
              <w:top w:type="dxa" w:w="130"/>
              <w:left w:type="dxa" w:w="200"/>
              <w:bottom w:type="dxa" w:w="130"/>
              <w:right w:type="dxa" w:w="160"/>
            </w:tcMar>
          </w:tcPr>
          <w:p>
            <w:pPr>
              <w:spacing w:line="284"/>
            </w:pPr>
            <w:r>
              <w:rPr>
                <w:b/>
                <w:bCs/>
                <w:color w:val="05070A"/>
                <w:sz w:val="19"/>
                <w:szCs w:val="19"/>
              </w:rPr>
              <w:t xml:space="preserve">El panel es un cuadro (va en Excel). </w:t>
            </w:r>
            <w:r>
              <w:rPr>
                <w:color w:val="3A4348"/>
                <w:sz w:val="19"/>
                <w:szCs w:val="19"/>
              </w:rPr>
              <w:t xml:space="preserve">A diferencia de las herramientas de texto, el panel de caja es una hoja de cálculo: la tabla de trece semanas más las cifras de cabecera. La plantilla de DÍA UNO te da la estructura; los números los pones tú. Lo importante no es la maqueta, sino la rutina semanal que la mantiene viva.</w:t>
            </w:r>
          </w:p>
        </w:tc>
      </w:tr>
    </w:tbl>
    <w:p>
      <w:pPr>
        <w:spacing w:after="110" w:before="300"/>
      </w:pPr>
      <w:r>
        <w:rPr>
          <w:b/>
          <w:bCs/>
          <w:color w:val="0C6F7F"/>
          <w:spacing w:val="15"/>
          <w:sz w:val="21"/>
          <w:szCs w:val="21"/>
        </w:rPr>
        <w:t xml:space="preserve">9 · La forma agéntica</w:t>
      </w:r>
    </w:p>
    <w:p>
      <w:pPr>
        <w:spacing w:after="120" w:line="288"/>
      </w:pPr>
      <w:r>
        <w:rPr>
          <w:i w:val="false"/>
          <w:iCs w:val="false"/>
          <w:color w:val="3A4348"/>
          <w:sz w:val="20"/>
          <w:szCs w:val="20"/>
        </w:rPr>
        <w:t xml:space="preserve">El panel de caja es un candidato claro a agentizarse, porque buena parte de su trabajo es reglado y repetitivo. Con la estructura Operativa, un agente puede reconstruir el saldo desde el banco, proyectar los cobros a partir de las facturas pendientes y su historial de retraso, colocar los pagos ciertos, recalcular las trece semanas cada día, y —lo más valioso— avisar en cuanto el punto más bajo proyectado se acerca al suelo sagrado, con tiempo para actuar. También puede vigilar la cartera vencida y recordar las fechas de impuestos. La decisión —qué cobro acelerar, qué pago mover, si activar una línea— sigue siendo humana; el agente hace la vigilancia continua que ninguna persona ocupada mantiene a mano, y avisa antes de que el problema tenga cara.</w:t>
      </w:r>
    </w:p>
    <w:p>
      <w:pPr>
        <w:spacing w:after="110" w:before="300"/>
      </w:pPr>
      <w:r>
        <w:rPr>
          <w:b/>
          <w:bCs/>
          <w:color w:val="0C6F7F"/>
          <w:spacing w:val="15"/>
          <w:sz w:val="21"/>
          <w:szCs w:val="21"/>
        </w:rPr>
        <w:t xml:space="preserve">10 · El mínimo innegociable</w:t>
      </w:r>
    </w:p>
    <w:p>
      <w:pPr>
        <w:pStyle w:val="ListParagraph"/>
        <w:numPr>
          <w:ilvl w:val="0"/>
          <w:numId w:val="2"/>
        </w:numPr>
        <w:spacing w:after="72" w:line="282"/>
      </w:pPr>
      <w:r>
        <w:rPr>
          <w:b/>
          <w:bCs/>
          <w:color w:val="05070A"/>
          <w:sz w:val="20"/>
          <w:szCs w:val="20"/>
        </w:rPr>
        <w:t xml:space="preserve">Una previsión de caja a semanas, leída contra un suelo. </w:t>
      </w:r>
      <w:r>
        <w:rPr>
          <w:color w:val="3A4348"/>
          <w:sz w:val="20"/>
          <w:szCs w:val="20"/>
        </w:rPr>
        <w:t xml:space="preserve">Aunque sea sencilla: saldo, cobros, pagos, y la línea roja por debajo de la cual no se baja.</w:t>
      </w:r>
    </w:p>
    <w:p>
      <w:pPr>
        <w:pStyle w:val="ListParagraph"/>
        <w:numPr>
          <w:ilvl w:val="0"/>
          <w:numId w:val="2"/>
        </w:numPr>
        <w:spacing w:after="72" w:line="282"/>
      </w:pPr>
      <w:r>
        <w:rPr>
          <w:b/>
          <w:bCs/>
          <w:color w:val="05070A"/>
          <w:sz w:val="20"/>
          <w:szCs w:val="20"/>
        </w:rPr>
        <w:t xml:space="preserve">Los impuestos reservados aparte. </w:t>
      </w:r>
      <w:r>
        <w:rPr>
          <w:color w:val="3A4348"/>
          <w:sz w:val="20"/>
          <w:szCs w:val="20"/>
        </w:rPr>
        <w:t xml:space="preserve">Que el IVA y los demás impuestos no revienten la caja el día de su fecha.</w:t>
      </w:r>
    </w:p>
    <w:p>
      <w:pPr>
        <w:pStyle w:val="ListParagraph"/>
        <w:numPr>
          <w:ilvl w:val="0"/>
          <w:numId w:val="2"/>
        </w:numPr>
        <w:spacing w:after="72" w:line="282"/>
      </w:pPr>
      <w:r>
        <w:rPr>
          <w:b/>
          <w:bCs/>
          <w:color w:val="05070A"/>
          <w:sz w:val="20"/>
          <w:szCs w:val="20"/>
        </w:rPr>
        <w:t xml:space="preserve">Refrescada con una rutina fija. </w:t>
      </w:r>
      <w:r>
        <w:rPr>
          <w:color w:val="3A4348"/>
          <w:sz w:val="20"/>
          <w:szCs w:val="20"/>
        </w:rPr>
        <w:t xml:space="preserve">Mejor una tabla simple mirada cada semana, sin falta, que un modelo perfecto y complejo que nadie llega a actualizar nunca.</w:t>
      </w:r>
    </w:p>
    <w:p>
      <w:pPr>
        <w:spacing w:after="110" w:before="300"/>
      </w:pPr>
      <w:r>
        <w:rPr>
          <w:b/>
          <w:bCs/>
          <w:color w:val="0C6F7F"/>
          <w:spacing w:val="15"/>
          <w:sz w:val="21"/>
          <w:szCs w:val="21"/>
        </w:rPr>
        <w:t xml:space="preserve">11 · Dónde toma peso</w:t>
      </w:r>
    </w:p>
    <w:p>
      <w:pPr>
        <w:spacing w:after="120" w:line="288"/>
      </w:pPr>
      <w:r>
        <w:rPr>
          <w:i w:val="false"/>
          <w:iCs w:val="false"/>
          <w:color w:val="3A4348"/>
          <w:sz w:val="20"/>
          <w:szCs w:val="20"/>
        </w:rPr>
        <w:t xml:space="preserve">El panel de caja es crítico en cualquier empresa con tesorería ajustada, con estacionalidad, que crezca rápido, o que cobre a plazos largos mientras paga a corto — es decir, en la mayoría de las pymes de servicios en algún momento. Toma un peso máximo justo cuando la empresa está creciendo, porque el crecimiento es el mayor consumidor de caja y el momento en que más empresas rentables se ahogan. Pesa menos en un negocio con caja holgada, márgenes amplios y cobro al contado — aunque incluso ahí, saber cuál es el suelo y tener el hábito de mirar es lo que evita que un mal trimestre inesperado se convierta en una crisis.</w:t>
      </w:r>
    </w:p>
    <w:p>
      <w:pPr>
        <w:pBdr>
          <w:top w:val="single" w:color="D5DCDD" w:sz="6" w:space="6"/>
        </w:pBdr>
        <w:spacing w:before="280"/>
      </w:pPr>
      <w:r>
        <w:rPr>
          <w:color w:val="6A767B"/>
          <w:sz w:val="14"/>
          <w:szCs w:val="14"/>
        </w:rPr>
        <w:t xml:space="preserve">DÍA UNO · Caja · 08 · El panel de caja · Teoría V2 · Fuentes: previsión rodante a 13 semanas (Float); Scaling Up (Cash, Ciclo de Conversión de Caja, Power of One); Profit First (Michalowicz); práctica de precisión del forecast (forecast vs real); runway y colchón. Cuelga del Rumbo (pieza 4, Caja y North Stars) y alimenta al Panel de indicadores (12).</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30"/>
      </w:pPr>
      <w:rPr>
        <w:color w:val="0C6F7F"/>
      </w:rPr>
    </w:lvl>
  </w:abstractNum>
  <w:abstractNum w:abstractNumId="3" w15:restartNumberingAfterBreak="0">
    <w:multiLevelType w:val="hybridMultilevel"/>
    <w:lvl w:ilvl="0" w15:tentative="1">
      <w:start w:val="1"/>
      <w:numFmt w:val="decimal"/>
      <w:lvlText w:val="%1."/>
      <w:lvlJc w:val="left"/>
      <w:pPr>
        <w:ind w:left="360" w:hanging="25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434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DÍA UNO</dc:creator>
  <cp:lastModifiedBy>Un-named</cp:lastModifiedBy>
  <cp:revision>1</cp:revision>
  <dcterms:created xsi:type="dcterms:W3CDTF">2026-08-09T15:38:58.545Z</dcterms:created>
  <dcterms:modified xsi:type="dcterms:W3CDTF">2026-08-09T15:38:58.545Z</dcterms:modified>
</cp:coreProperties>
</file>

<file path=docProps/custom.xml><?xml version="1.0" encoding="utf-8"?>
<Properties xmlns="http://schemas.openxmlformats.org/officeDocument/2006/custom-properties" xmlns:vt="http://schemas.openxmlformats.org/officeDocument/2006/docPropsVTypes"/>
</file>