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RUMBO · SUB-HERRAMIENTA 3 · TEORÍA</w:t>
      </w:r>
    </w:p>
    <w:p>
      <w:pPr>
        <w:spacing w:after="80"/>
      </w:pPr>
      <w:r>
        <w:rPr>
          <w:b/>
          <w:bCs/>
          <w:color w:val="05070A"/>
          <w:sz w:val="34"/>
          <w:szCs w:val="34"/>
        </w:rPr>
        <w:t xml:space="preserve">Cómo ganamos</w:t>
      </w:r>
    </w:p>
    <w:p>
      <w:pPr>
        <w:spacing w:after="60" w:line="280"/>
      </w:pPr>
      <w:r>
        <w:rPr>
          <w:i/>
          <w:iCs/>
          <w:color w:val="6A767B"/>
          <w:sz w:val="20"/>
          <w:szCs w:val="20"/>
        </w:rPr>
        <w:t xml:space="preserve">Para quién trabajamos, qué le prometemos y por qué nos elige a nosotros y no a otro. La pieza que convierte la dirección en una ventaja concreta en el mercado.</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Nombrar con precisión a tu cliente núcleo, escribir una promesa que puedas medir (no un eslogan), y aislar los tres motivos reales por los que te eligen. Con eso, tu equipo comercial deja de vender a todo el mundo lo mismo y empieza a ganar por una razón, no por precio.</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Esta pieza responde a la parte del Rumbo que mira hacia fuera: el mercado. Tiene cuatro componentes encadenados. El cliente núcleo (para quién existimos de verdad, no «cualquiera que pague»). La promesa (qué experiencia se lleva ese cliente al trabajar con nosotros). Los tres diferenciales (las razones concretas por las que nos elige). Y la ventaja competitiva (por qué esos diferenciales son difíciles de copiar). Los cuatro juntos explican cómo esta empresa gana dinero de una manera que no es simplemente «ser más baratos».</w:t>
      </w:r>
    </w:p>
    <w:p>
      <w:pPr>
        <w:spacing w:after="120" w:line="288"/>
      </w:pPr>
      <w:r>
        <w:rPr>
          <w:b/>
          <w:bCs/>
          <w:color w:val="05070A"/>
          <w:sz w:val="20"/>
          <w:szCs w:val="20"/>
        </w:rPr>
        <w:t xml:space="preserve">Qué no es. </w:t>
      </w:r>
      <w:r>
        <w:rPr>
          <w:color w:val="3A4348"/>
          <w:sz w:val="20"/>
          <w:szCs w:val="20"/>
        </w:rPr>
        <w:t xml:space="preserve">No es el plan de marketing ni la estrategia de canales — eso viene después y cuelga de aquí. Es la decisión de fondo sobre a quién servimos y por qué nos merecen. Sin ella, el marketing es ruido bien hecho.</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para dejar de competir por precio. Una empresa que no sabe para quién es ni por qué la eligen acaba, tarde o temprano, discutiendo descuentos, porque el precio es el único argumento que le queda cuando no hay diferencia clara. Definir el cliente núcleo y los diferenciales es lo que te permite decir que no a los clientes equivocados y cobrar bien a los correctos. Como recuerda la escuela de Scaling Up, cuando una promesa toca la necesidad emocional del cliente y no solo la funcional, deja de ser sustituible por el de al lado que cobra un 10% menos.</w:t>
      </w:r>
    </w:p>
    <w:p>
      <w:pPr>
        <w:spacing w:after="120" w:line="288"/>
      </w:pPr>
      <w:r>
        <w:rPr>
          <w:i w:val="false"/>
          <w:iCs w:val="false"/>
          <w:color w:val="3A4348"/>
          <w:sz w:val="20"/>
          <w:szCs w:val="20"/>
        </w:rPr>
        <w:t xml:space="preserve">Y sirve para alinear a toda la empresa hacia fuera. Si el comercial promete una cosa, operaciones entrega otra y la web dice una tercera, el cliente percibe una empresa que no sabe quién es. Escribir «cómo ganamos» pone a todos a contar la misma historia y, sobre todo, a cumplir la misma promesa.</w:t>
      </w:r>
    </w:p>
    <w:p>
      <w:pPr>
        <w:spacing w:after="110" w:before="300"/>
      </w:pPr>
      <w:r>
        <w:rPr>
          <w:b/>
          <w:bCs/>
          <w:color w:val="0C6F7F"/>
          <w:spacing w:val="15"/>
          <w:sz w:val="21"/>
          <w:szCs w:val="21"/>
        </w:rPr>
        <w:t xml:space="preserve">3 · Cómo funciona</w:t>
      </w:r>
    </w:p>
    <w:p>
      <w:pPr>
        <w:spacing w:after="55" w:before="170"/>
      </w:pPr>
      <w:r>
        <w:rPr>
          <w:b/>
          <w:bCs/>
          <w:color w:val="05070A"/>
          <w:sz w:val="18"/>
          <w:szCs w:val="18"/>
        </w:rPr>
        <w:t xml:space="preserve">Primero, el cliente núcleo (foco)</w:t>
      </w:r>
    </w:p>
    <w:p>
      <w:pPr>
        <w:spacing w:after="120" w:line="288"/>
      </w:pPr>
      <w:r>
        <w:rPr>
          <w:i w:val="false"/>
          <w:iCs w:val="false"/>
          <w:color w:val="3A4348"/>
          <w:sz w:val="20"/>
          <w:szCs w:val="20"/>
        </w:rPr>
        <w:t xml:space="preserve">Todo empieza por elegir. La tentación de la pyme es querer servir a todo el mercado para no perder ninguna venta, y es justo lo que la vuelve invisible. Tanto EOS (con su «target market» o «la lista») como Scaling Up (con su «sandbox») piden lo mismo: define con precisión quién es tu cliente ideal —sector, tamaño, situación, qué le duele— para poder diseñarlo todo a su medida. Un foco estrecho no reduce el mercado: concentra la fuerza.</w:t>
      </w:r>
    </w:p>
    <w:p>
      <w:pPr>
        <w:spacing w:after="55" w:before="170"/>
      </w:pPr>
      <w:r>
        <w:rPr>
          <w:b/>
          <w:bCs/>
          <w:color w:val="05070A"/>
          <w:sz w:val="18"/>
          <w:szCs w:val="18"/>
        </w:rPr>
        <w:t xml:space="preserve">La promesa: lo que el cliente va a experimentar</w:t>
      </w:r>
    </w:p>
    <w:p>
      <w:pPr>
        <w:spacing w:after="120" w:line="288"/>
      </w:pPr>
      <w:r>
        <w:rPr>
          <w:i w:val="false"/>
          <w:iCs w:val="false"/>
          <w:color w:val="3A4348"/>
          <w:sz w:val="20"/>
          <w:szCs w:val="20"/>
        </w:rPr>
        <w:t xml:space="preserve">Una promesa de marca, en palabras de los coaches de Scaling Up, no es una descripción de lo que haces: es una expectativa aspiracional de lo que el cliente va a experimentar. «Hacemos reformas» describe; «tu obra terminada en la fecha prometida o te pagamos el retraso» promete. La diferencia es que una promesa de verdad se puede medir. A eso Scaling Up lo llama indicadores de promesa cumplida: números que dicen si estás cumpliendo lo que prometes. El ejemplo clásico es Rackspace, que prometía «soporte fanático» y lo medía con compromisos concretos —contestar al tercer tono, devolución del dinero por cualquier caída—. Sin esos números, una promesa es un deseo.</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Los tres niveles de necesidad. </w:t>
            </w:r>
            <w:r>
              <w:rPr>
                <w:color w:val="3A4348"/>
                <w:sz w:val="19"/>
                <w:szCs w:val="19"/>
              </w:rPr>
              <w:t xml:space="preserve">Una promesa fuerte no se queda en lo funcional. La escuela de Scaling Up, apoyándose en Maslow, distingue tres niveles: el funcional (que el producto haga su trabajo), el emocional (cómo se siente el cliente al trabajar contigo) y el de autorrealización (con qué propósito conecta). Las promesas que solo tocan lo funcional se pelean por precio; las que llegan a lo emocional y lo aspiracional fidelizan y protegen el margen.</w:t>
            </w:r>
          </w:p>
        </w:tc>
      </w:tr>
    </w:tbl>
    <w:p>
      <w:pPr>
        <w:spacing w:after="55" w:before="170"/>
      </w:pPr>
      <w:r>
        <w:rPr>
          <w:b/>
          <w:bCs/>
          <w:color w:val="05070A"/>
          <w:sz w:val="18"/>
          <w:szCs w:val="18"/>
        </w:rPr>
        <w:t xml:space="preserve">Los tres diferenciales (las 3 uniques)</w:t>
      </w:r>
    </w:p>
    <w:p>
      <w:pPr>
        <w:spacing w:after="120" w:line="288"/>
      </w:pPr>
      <w:r>
        <w:rPr>
          <w:i w:val="false"/>
          <w:iCs w:val="false"/>
          <w:color w:val="3A4348"/>
          <w:sz w:val="20"/>
          <w:szCs w:val="20"/>
        </w:rPr>
        <w:t xml:space="preserve">EOS lo llama «las tres cosas únicas»: los tres motivos, escritos en lenguaje del cliente, por los que te eligen a ti. La prueba de un buen diferencial es triple: es verdad en ti, idealmente no lo es (o no lo dice) tu competencia, y es difícil de copiar. «Buena calidad y buen trato» no es un diferencial, porque lo diría cualquiera. «El único de la zona con taller propio 24 horas» sí lo es, porque es concreto y comprobable.</w:t>
      </w:r>
    </w:p>
    <w:p>
      <w:pPr>
        <w:spacing w:after="55" w:before="170"/>
      </w:pPr>
      <w:r>
        <w:rPr>
          <w:b/>
          <w:bCs/>
          <w:color w:val="05070A"/>
          <w:sz w:val="18"/>
          <w:szCs w:val="18"/>
        </w:rPr>
        <w:t xml:space="preserve">La ventaja competitiva y la garantía</w:t>
      </w:r>
    </w:p>
    <w:p>
      <w:pPr>
        <w:spacing w:after="120" w:line="288"/>
      </w:pPr>
      <w:r>
        <w:rPr>
          <w:i w:val="false"/>
          <w:iCs w:val="false"/>
          <w:color w:val="3A4348"/>
          <w:sz w:val="20"/>
          <w:szCs w:val="20"/>
        </w:rPr>
        <w:t xml:space="preserve">Los diferenciales explican por qué te eligen hoy; la ventaja competitiva explica por qué te seguirán eligiendo mañana: qué hace que tus diferenciales sean difíciles de imitar (un proceso propio, una red, un conocimiento acumulado, una posición). Y la garantía es el mecanismo que pone a la empresa la piel en el juego: un compromiso audible —a menudo con consecuencia si se incumple— que le dice al cliente que la promesa va en serio. No toda empresa necesita una garantía explícita, pero pensarla obliga a saber si de verdad crees en tu promesa.</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el equipo comercial vende por una razón y no por descuento, el marketing habla a alguien concreto, y la empresa puede cobrar lo que vale porque el cliente ve por qué la elige.</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la empresa persigue a cualquier cliente, promete cosas genéricas que no puede medir, y termina compitiendo por precio contra rivales indistinguibles. Vender cuesta el doble y el margen se erosiona.</w:t>
      </w:r>
    </w:p>
    <w:p>
      <w:pPr>
        <w:spacing w:after="110" w:before="300"/>
      </w:pPr>
      <w:r>
        <w:rPr>
          <w:b/>
          <w:bCs/>
          <w:color w:val="0C6F7F"/>
          <w:spacing w:val="15"/>
          <w:sz w:val="21"/>
          <w:szCs w:val="21"/>
        </w:rPr>
        <w:t xml:space="preserve">5 · La madurez de esta pieza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No hay cliente definido ni promesa; se le vende a quien aparezca.</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El fundador sabe intuitivamente a quién sirve mejor, pero no está escrito ni compartido.</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 cliente y una promesa escritos, pero genéricos y sin medir.</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Cliente, promesa y diferenciales claros y usados; la promesa se mide con indicadores.</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La promesa y sus indicadores están tan definidos que un agente vigila su cumplimiento en cada cliente.</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Del propósito y la meta (pieza 1) y de un conocimiento real del mercado y del cliente. Se apoya también en los valores, que filtran también a qué clientes queremos.</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 los Procesos (6-7), que existen para cumplir la promesa; y al Panel de indicadores (12), donde los indicadores de promesa cumplida se convierten en KPIs vigilados. La ventaja competitiva orienta además dónde invertir para defender el foso.</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«Cómo ganamos» es la pieza del Rumbo que más directamente toca el trabajo diario de comercial, marketing y operaciones, así que su adopción se juega ahí. No basta con comunicarla: hay que traducirla a cada área. El comercial necesita saber cuál es la promesa exacta que puede hacer; operaciones, qué tiene que cumplir para que esa promesa no sea mentira; marketing, cómo contar los tres diferenciales. La prueba de que se ha adoptado es que tres personas de tres áreas distintas describen al cliente núcleo y la promesa con las mismas palabras.</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Define el cliente núcleo. </w:t>
      </w:r>
      <w:r>
        <w:rPr>
          <w:color w:val="3A4348"/>
          <w:sz w:val="20"/>
          <w:szCs w:val="20"/>
        </w:rPr>
        <w:t xml:space="preserve">No «nuestro público»: una descripción estrecha (sector, tamaño, situación, dolor principal). Prueba de foco: si no puedes nombrar a tres clientes reales que encajen perfectamente, es demasiado amplio.</w:t>
      </w:r>
    </w:p>
    <w:p>
      <w:pPr>
        <w:pStyle w:val="ListParagraph"/>
        <w:numPr>
          <w:ilvl w:val="0"/>
          <w:numId w:val="3"/>
        </w:numPr>
        <w:spacing w:after="92" w:line="282"/>
      </w:pPr>
      <w:r>
        <w:rPr>
          <w:b/>
          <w:bCs/>
          <w:color w:val="05070A"/>
          <w:sz w:val="20"/>
          <w:szCs w:val="20"/>
        </w:rPr>
        <w:t xml:space="preserve">Escribe la promesa y cómo la medirás. </w:t>
      </w:r>
      <w:r>
        <w:rPr>
          <w:color w:val="3A4348"/>
          <w:sz w:val="20"/>
          <w:szCs w:val="20"/>
        </w:rPr>
        <w:t xml:space="preserve">Una frase de lo que el cliente va a experimentar, tocando más que lo funcional. Debajo, uno o dos indicadores de promesa cumplida. Si no se te ocurre cómo medirla, todavía es un eslogan.</w:t>
      </w:r>
    </w:p>
    <w:p>
      <w:pPr>
        <w:pStyle w:val="ListParagraph"/>
        <w:numPr>
          <w:ilvl w:val="0"/>
          <w:numId w:val="3"/>
        </w:numPr>
        <w:spacing w:after="92" w:line="282"/>
      </w:pPr>
      <w:r>
        <w:rPr>
          <w:b/>
          <w:bCs/>
          <w:color w:val="05070A"/>
          <w:sz w:val="20"/>
          <w:szCs w:val="20"/>
        </w:rPr>
        <w:t xml:space="preserve">Aísla los 3 diferenciales. </w:t>
      </w:r>
      <w:r>
        <w:rPr>
          <w:color w:val="3A4348"/>
          <w:sz w:val="20"/>
          <w:szCs w:val="20"/>
        </w:rPr>
        <w:t xml:space="preserve">En lenguaje del cliente. Pásalos por la triple prueba: ¿es verdad en ti? ¿lo callan tus rivales? ¿es difícil de copiar? Descarta los que cualquiera diría.</w:t>
      </w:r>
    </w:p>
    <w:p>
      <w:pPr>
        <w:pStyle w:val="ListParagraph"/>
        <w:numPr>
          <w:ilvl w:val="0"/>
          <w:numId w:val="3"/>
        </w:numPr>
        <w:spacing w:after="92" w:line="282"/>
      </w:pPr>
      <w:r>
        <w:rPr>
          <w:b/>
          <w:bCs/>
          <w:color w:val="05070A"/>
          <w:sz w:val="20"/>
          <w:szCs w:val="20"/>
        </w:rPr>
        <w:t xml:space="preserve">Nombra la ventaja competitiva y, si procede, la garantía. </w:t>
      </w:r>
      <w:r>
        <w:rPr>
          <w:color w:val="3A4348"/>
          <w:sz w:val="20"/>
          <w:szCs w:val="20"/>
        </w:rPr>
        <w:t xml:space="preserve">Qué hace difícil copiarte, y qué compromiso audible estás dispuesto a firmar. Aunque no publiques la garantía, pensarla te dice si de verdad crees tu promesa.</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La sesión. </w:t>
            </w:r>
            <w:r>
              <w:rPr>
                <w:color w:val="3A4348"/>
                <w:sz w:val="19"/>
                <w:szCs w:val="19"/>
              </w:rPr>
              <w:t xml:space="preserve">Media jornada, mejor con alguien de comercial y de operaciones en la sala (no solo la cúpula), porque ellos saben qué se promete y qué se cumple de verdad. Se cierra con cliente núcleo, promesa medible y tres diferenciales que todos firmarían.</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Una vez definidos la promesa y sus indicadores, un agente puede vigilar el cumplimiento cliente a cliente, avisar cuando un indicador de promesa se rompe, o cotejar lo que el comercial promete contra lo que la empresa dijo prometer. El criterio sobre a quién servir y qué prometer es humano; el agente cuida que la realidad no se aleje de la promesa.</w:t>
      </w:r>
    </w:p>
    <w:p>
      <w:pPr>
        <w:spacing w:after="110" w:before="300"/>
      </w:pPr>
      <w:r>
        <w:rPr>
          <w:b/>
          <w:bCs/>
          <w:color w:val="0C6F7F"/>
          <w:spacing w:val="15"/>
          <w:sz w:val="21"/>
          <w:szCs w:val="21"/>
        </w:rPr>
        <w:t xml:space="preserve">10 · El mínimo innegociable</w:t>
      </w:r>
    </w:p>
    <w:p>
      <w:pPr>
        <w:spacing w:after="120" w:line="288"/>
      </w:pPr>
      <w:r>
        <w:rPr>
          <w:i w:val="false"/>
          <w:iCs w:val="false"/>
          <w:color w:val="3A4348"/>
          <w:sz w:val="20"/>
          <w:szCs w:val="20"/>
        </w:rPr>
        <w:t xml:space="preserve">Un cliente núcleo descrito con precisión y una promesa que se pueda medir con al menos un indicador. Los tres diferenciales y la ventaja competitiva refinan y fortalecen, pero sin cliente y sin promesa medible no hay «cómo ganamos» — hay «a ver qué cae».</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Es crítica en mercados competidos o commoditizados, donde no diferenciarse significa competir por precio. Pesa algo menos en un monopolio local o un nicho sin competencia, aunque incluso ahí definir la promesa protege de que aparezca un rival y te la robe.</w:t>
      </w:r>
    </w:p>
    <w:p>
      <w:pPr>
        <w:pBdr>
          <w:top w:val="single" w:color="D5DCDD" w:sz="6" w:space="6"/>
        </w:pBdr>
        <w:spacing w:before="280"/>
      </w:pPr>
      <w:r>
        <w:rPr>
          <w:color w:val="6A767B"/>
          <w:sz w:val="14"/>
          <w:szCs w:val="14"/>
        </w:rPr>
        <w:t xml:space="preserve">DÍA UNO · Rumbo · 3 · Cómo ganamos · Teoría V2 · Fuentes: Scaling Up (brand promise, KPIs de promesa, sandbox, niveles de necesidad); EOS (target market, 3 uniques, guarantee).</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2026-08-08T07:38:26.823Z</dcterms:created>
  <dcterms:modified xsi:type="dcterms:W3CDTF">2026-08-08T07:38:26.823Z</dcterms:modified>
</cp:coreProperties>
</file>

<file path=docProps/custom.xml><?xml version="1.0" encoding="utf-8"?>
<Properties xmlns="http://schemas.openxmlformats.org/officeDocument/2006/custom-properties" xmlns:vt="http://schemas.openxmlformats.org/officeDocument/2006/docPropsVTypes"/>
</file>