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05070A"/>
          <w:spacing w:val="60"/>
          <w:sz w:val="20"/>
          <w:szCs w:val="20"/>
        </w:rPr>
        <w:t xml:space="preserve">DÍA UNO</w:t>
      </w:r>
      <w:r>
        <w:rPr>
          <w:color w:val="6A767B"/>
          <w:spacing w:val="40"/>
          <w:sz w:val="14"/>
          <w:szCs w:val="14"/>
        </w:rPr>
        <w:t xml:space="preserve">   ·   SISTEMA OPERATIVO HÍBRIDO</w:t>
      </w:r>
    </w:p>
    <w:p>
      <w:pPr>
        <w:pBdr>
          <w:bottom w:val="single" w:color="0C6F7F" w:sz="6" w:space="2"/>
        </w:pBdr>
        <w:spacing w:after="160"/>
      </w:pPr>
    </w:p>
    <w:p>
      <w:pPr>
        <w:spacing w:after="40" w:before="40"/>
      </w:pPr>
      <w:r>
        <w:rPr>
          <w:b/>
          <w:bCs/>
          <w:color w:val="0C6F7F"/>
          <w:spacing w:val="30"/>
          <w:sz w:val="14"/>
          <w:szCs w:val="14"/>
        </w:rPr>
        <w:t xml:space="preserve">PILAR PROCESOS · HERRAMIENTA 07 · TEORÍA</w:t>
      </w:r>
    </w:p>
    <w:p>
      <w:pPr>
        <w:spacing w:after="80"/>
      </w:pPr>
      <w:r>
        <w:rPr>
          <w:b/>
          <w:bCs/>
          <w:color w:val="05070A"/>
          <w:sz w:val="34"/>
          <w:szCs w:val="34"/>
        </w:rPr>
        <w:t xml:space="preserve">El SOP</w:t>
      </w:r>
    </w:p>
    <w:p>
      <w:pPr>
        <w:spacing w:after="60" w:line="280"/>
      </w:pPr>
      <w:r>
        <w:rPr>
          <w:i/>
          <w:iCs/>
          <w:color w:val="6A767B"/>
          <w:sz w:val="20"/>
          <w:szCs w:val="20"/>
        </w:rPr>
        <w:t xml:space="preserve">El procedimiento que hace que un trabajo salga igual sin depender de quién lo haga — escrito para que lo ejecute alguien sin experiencia, y estructurado para que algún día lo ejecute un agente. El detalle que cuelga de cada caja del mapa.</w:t>
      </w:r>
    </w:p>
    <w:tbl>
      <w:tblPr>
        <w:tblW w:type="dxa" w:w="9026"/>
        <w:tblBorders>
          <w:top w:val="none"/>
          <w:left w:val="single" w:color="0C6F7F" w:sz="18"/>
          <w:bottom w:val="none"/>
          <w:right w:val="none"/>
          <w:insideH w:val="none"/>
          <w:insideV w:val="none"/>
        </w:tblBorders>
      </w:tblPr>
      <w:tblGrid>
        <w:gridCol w:w="9026"/>
      </w:tblGrid>
      <w:tr>
        <w:tc>
          <w:tcPr>
            <w:tcW w:type="dxa" w:w="9026"/>
            <w:shd w:fill="EEF4F4" w:color="auto" w:val="clear"/>
            <w:tcMar>
              <w:top w:type="dxa" w:w="130"/>
              <w:left w:type="dxa" w:w="200"/>
              <w:bottom w:type="dxa" w:w="130"/>
              <w:right w:type="dxa" w:w="160"/>
            </w:tcMar>
          </w:tcPr>
          <w:p>
            <w:pPr>
              <w:spacing w:line="284"/>
            </w:pPr>
            <w:r>
              <w:rPr>
                <w:b/>
                <w:bCs/>
                <w:color w:val="05070A"/>
                <w:sz w:val="19"/>
                <w:szCs w:val="19"/>
              </w:rPr>
              <w:t xml:space="preserve">Qué vas a poder hacer al terminar. </w:t>
            </w:r>
            <w:r>
              <w:rPr>
                <w:color w:val="3A4348"/>
                <w:sz w:val="19"/>
                <w:szCs w:val="19"/>
              </w:rPr>
              <w:t xml:space="preserve">Escribir un procedimiento que una persona nueva pueda seguir sin que nadie le explique nada, y que a la vez esté tan bien estructurado —con su disparador, sus entradas y de dónde salen, sus pasos con verbo y sus salidas— que una inteligencia artificial pueda ejecutarlo casi sin traducción. Esa doble legibilidad, humana y de máquina, es una de las cosas que hacen distinto a DÍA UNO.</w:t>
            </w:r>
          </w:p>
        </w:tc>
      </w:tr>
    </w:tbl>
    <w:p>
      <w:pPr>
        <w:spacing w:after="110" w:before="300"/>
      </w:pPr>
      <w:r>
        <w:rPr>
          <w:b/>
          <w:bCs/>
          <w:color w:val="0C6F7F"/>
          <w:spacing w:val="15"/>
          <w:sz w:val="21"/>
          <w:szCs w:val="21"/>
        </w:rPr>
        <w:t xml:space="preserve">1 · Qué es</w:t>
      </w:r>
    </w:p>
    <w:p>
      <w:pPr>
        <w:spacing w:after="120" w:line="288"/>
      </w:pPr>
      <w:r>
        <w:rPr>
          <w:i w:val="false"/>
          <w:iCs w:val="false"/>
          <w:color w:val="3A4348"/>
          <w:sz w:val="20"/>
          <w:szCs w:val="20"/>
        </w:rPr>
        <w:t xml:space="preserve">Una SOP (del inglés Standard Operating Procedure, procedimiento operativo estándar) es el documento que explica, paso a paso, cómo se ejecuta una tarea o un proceso recurrente, de forma que el resultado sea el mismo lo haga quien lo haga. Si el mapa de procesos (06) dibujaba las pocas cajas grandes del negocio, la SOP es el detalle que cuelga de una de esas cajas: el macroproceso es «Cobrar»; la SOP es el documento que explica cómo se emite una factura en el sistema.</w:t>
      </w:r>
    </w:p>
    <w:p>
      <w:pPr>
        <w:spacing w:after="120" w:line="288"/>
      </w:pPr>
      <w:r>
        <w:rPr>
          <w:i w:val="false"/>
          <w:iCs w:val="false"/>
          <w:color w:val="3A4348"/>
          <w:sz w:val="20"/>
          <w:szCs w:val="20"/>
        </w:rPr>
        <w:t xml:space="preserve">Hay una prueba de fuego que define una buena SOP: si el procedimiento es lo bastante bueno, el trabajo sale bien independientemente de la experiencia de quien lo ejecuta. Dicho de otro modo, una SOP se valida entregándosela a una persona recién incorporada y comprobando si puede hacer el trabajo sin ayuda. Si necesita que alguien se lo explique, a la SOP le falta algo. Por eso hay una frase que conviene grabarse: una SOP se sigue, no se lee. No es un texto para leer y comprender, es una guía para ejecutar.</w:t>
      </w:r>
    </w:p>
    <w:p>
      <w:pPr>
        <w:spacing w:after="120" w:line="288"/>
      </w:pPr>
      <w:r>
        <w:rPr>
          <w:b/>
          <w:bCs/>
          <w:color w:val="05070A"/>
          <w:sz w:val="20"/>
          <w:szCs w:val="20"/>
        </w:rPr>
        <w:t xml:space="preserve">Qué no es. </w:t>
      </w:r>
      <w:r>
        <w:rPr>
          <w:color w:val="3A4348"/>
          <w:sz w:val="20"/>
          <w:szCs w:val="20"/>
        </w:rPr>
        <w:t xml:space="preserve">No es una novela ni un ensayo. El error más común es escribir la SOP en prosa densa, con párrafos largos que hay que interpretar. Una SOP que hay que leer con atención en lugar de seguir paso a paso ya ha fracasado. Tampoco es documentación implícita que se apoya en «lo que ya se sabe»: si un paso da por hecho un conocimiento que la persona nueva no tiene, ese paso está incompleto. Y no es un documento muerto: una SOP que describe un proceso que ya no se hace así es peor que no tenerla.</w:t>
      </w:r>
    </w:p>
    <w:p>
      <w:pPr>
        <w:spacing w:after="110" w:before="300"/>
      </w:pPr>
      <w:r>
        <w:rPr>
          <w:b/>
          <w:bCs/>
          <w:color w:val="0C6F7F"/>
          <w:spacing w:val="15"/>
          <w:sz w:val="21"/>
          <w:szCs w:val="21"/>
        </w:rPr>
        <w:t xml:space="preserve">2 · Para qué sirve</w:t>
      </w:r>
    </w:p>
    <w:p>
      <w:pPr>
        <w:spacing w:after="120" w:line="288"/>
      </w:pPr>
      <w:r>
        <w:rPr>
          <w:i w:val="false"/>
          <w:iCs w:val="false"/>
          <w:color w:val="3A4348"/>
          <w:sz w:val="20"/>
          <w:szCs w:val="20"/>
        </w:rPr>
        <w:t xml:space="preserve">Sirve para que el negocio no dependa de que una persona concreta esté. Mientras un proceso vive solo en la cabeza de quien lo hace, la empresa es rehén de esa persona: si se va, si se pone enferma, si se satura, el trabajo se para o sale mal. La SOP saca ese conocimiento de la cabeza y lo pone donde cualquiera puede ejecutarlo. Es lo que convierte a una empresa de un conjunto de artesanos insustituibles en un sistema que funciona con quien esté.</w:t>
      </w:r>
    </w:p>
    <w:p>
      <w:pPr>
        <w:spacing w:after="120" w:line="288"/>
      </w:pPr>
      <w:r>
        <w:rPr>
          <w:i w:val="false"/>
          <w:iCs w:val="false"/>
          <w:color w:val="3A4348"/>
          <w:sz w:val="20"/>
          <w:szCs w:val="20"/>
        </w:rPr>
        <w:t xml:space="preserve">Sirve, muy en concreto, para incorporar a gente nueva sin perder semanas. Sin SOPs, cada incorporación aprende «sobre la marcha» —es decir, por accidente, preguntando y equivocándose durante semanas—. Con SOPs claras, el primer día ya puede ejecutar. Y sirve para mejorar de verdad: solo se puede mejorar un proceso que está estandarizado, porque solo entonces sabes qué estás cambiando. Como dijo Taiichi Ohno, el padre del sistema de producción de Toyota, no puede haber mejora sin un estándar. La SOP es ese estándar.</w:t>
      </w:r>
    </w:p>
    <w:p>
      <w:pPr>
        <w:spacing w:after="120" w:line="288"/>
      </w:pPr>
      <w:r>
        <w:rPr>
          <w:i w:val="false"/>
          <w:iCs w:val="false"/>
          <w:color w:val="3A4348"/>
          <w:sz w:val="20"/>
          <w:szCs w:val="20"/>
        </w:rPr>
        <w:t xml:space="preserve">Y sirve, por último, como la puerta a la agentización. Una SOP bien estructurada no solo la puede ejecutar una persona: es la forma en que una inteligencia artificial puede llegar a ejecutar la parte reglada del trabajo. Ese puente es una de las razones de ser de DÍA UNO, y lo veremos en detalle.</w:t>
      </w:r>
    </w:p>
    <w:p>
      <w:pPr>
        <w:spacing w:after="110" w:before="300"/>
      </w:pPr>
      <w:r>
        <w:rPr>
          <w:b/>
          <w:bCs/>
          <w:color w:val="0C6F7F"/>
          <w:spacing w:val="15"/>
          <w:sz w:val="21"/>
          <w:szCs w:val="21"/>
        </w:rPr>
        <w:t xml:space="preserve">3 · Cómo funciona</w:t>
      </w:r>
    </w:p>
    <w:p>
      <w:pPr>
        <w:spacing w:after="55" w:before="170"/>
      </w:pPr>
      <w:r>
        <w:rPr>
          <w:b/>
          <w:bCs/>
          <w:color w:val="05070A"/>
          <w:sz w:val="18"/>
          <w:szCs w:val="18"/>
        </w:rPr>
        <w:t xml:space="preserve">La anatomía de una SOP</w:t>
      </w:r>
    </w:p>
    <w:p>
      <w:pPr>
        <w:spacing w:after="120" w:line="288"/>
      </w:pPr>
      <w:r>
        <w:rPr>
          <w:i w:val="false"/>
          <w:iCs w:val="false"/>
          <w:color w:val="3A4348"/>
          <w:sz w:val="20"/>
          <w:szCs w:val="20"/>
        </w:rPr>
        <w:t xml:space="preserve">Una SOP tiene una estructura canónica, refinada durante décadas en entornos de calidad. No hace falta que todas las secciones sean largas, pero sí que estén:</w:t>
      </w:r>
    </w:p>
    <w:p>
      <w:pPr>
        <w:pStyle w:val="ListParagraph"/>
        <w:numPr>
          <w:ilvl w:val="0"/>
          <w:numId w:val="2"/>
        </w:numPr>
        <w:spacing w:after="72" w:line="282"/>
      </w:pPr>
      <w:r>
        <w:rPr>
          <w:b/>
          <w:bCs/>
          <w:color w:val="05070A"/>
          <w:sz w:val="20"/>
          <w:szCs w:val="20"/>
        </w:rPr>
        <w:t xml:space="preserve">Cabecera (metadatos). </w:t>
      </w:r>
      <w:r>
        <w:rPr>
          <w:color w:val="3A4348"/>
          <w:sz w:val="20"/>
          <w:szCs w:val="20"/>
        </w:rPr>
        <w:t xml:space="preserve">Título específico, no genérico —«Alta y onboarding de cliente nuevo, primeras 48 h», no «Onboarding»—; un identificador; la versión y su historial de cambios; el autor; el dueño (owner) que la mantiene; quién la aprobó y cuándo; y el área. La cabecera es lo que permite saber si estás mirando la versión vigente o una obsoleta.</w:t>
      </w:r>
    </w:p>
    <w:p>
      <w:pPr>
        <w:pStyle w:val="ListParagraph"/>
        <w:numPr>
          <w:ilvl w:val="0"/>
          <w:numId w:val="2"/>
        </w:numPr>
        <w:spacing w:after="72" w:line="282"/>
      </w:pPr>
      <w:r>
        <w:rPr>
          <w:b/>
          <w:bCs/>
          <w:color w:val="05070A"/>
          <w:sz w:val="20"/>
          <w:szCs w:val="20"/>
        </w:rPr>
        <w:t xml:space="preserve">Objeto y alcance. </w:t>
      </w:r>
      <w:r>
        <w:rPr>
          <w:color w:val="3A4348"/>
          <w:sz w:val="20"/>
          <w:szCs w:val="20"/>
        </w:rPr>
        <w:t xml:space="preserve">Para qué existe la SOP y a qué aplica —y, sobre todo, a qué no aplica—. El alcance evita que se use la SOP en situaciones que no cubre.</w:t>
      </w:r>
    </w:p>
    <w:p>
      <w:pPr>
        <w:pStyle w:val="ListParagraph"/>
        <w:numPr>
          <w:ilvl w:val="0"/>
          <w:numId w:val="2"/>
        </w:numPr>
        <w:spacing w:after="72" w:line="282"/>
      </w:pPr>
      <w:r>
        <w:rPr>
          <w:b/>
          <w:bCs/>
          <w:color w:val="05070A"/>
          <w:sz w:val="20"/>
          <w:szCs w:val="20"/>
        </w:rPr>
        <w:t xml:space="preserve">Referencias y definiciones. </w:t>
      </w:r>
      <w:r>
        <w:rPr>
          <w:color w:val="3A4348"/>
          <w:sz w:val="20"/>
          <w:szCs w:val="20"/>
        </w:rPr>
        <w:t xml:space="preserve">Otras SOPs, políticas o normas relacionadas, y las siglas o términos que puedan ser ambiguos.</w:t>
      </w:r>
    </w:p>
    <w:p>
      <w:pPr>
        <w:pStyle w:val="ListParagraph"/>
        <w:numPr>
          <w:ilvl w:val="0"/>
          <w:numId w:val="2"/>
        </w:numPr>
        <w:spacing w:after="72" w:line="282"/>
      </w:pPr>
      <w:r>
        <w:rPr>
          <w:b/>
          <w:bCs/>
          <w:color w:val="05070A"/>
          <w:sz w:val="20"/>
          <w:szCs w:val="20"/>
        </w:rPr>
        <w:t xml:space="preserve">Responsabilidades. </w:t>
      </w:r>
      <w:r>
        <w:rPr>
          <w:color w:val="3A4348"/>
          <w:sz w:val="20"/>
          <w:szCs w:val="20"/>
        </w:rPr>
        <w:t xml:space="preserve">Quién hace qué, siempre por rol y no por nombre: el rol permanece aunque cambie la persona.</w:t>
      </w:r>
    </w:p>
    <w:p>
      <w:pPr>
        <w:pStyle w:val="ListParagraph"/>
        <w:numPr>
          <w:ilvl w:val="0"/>
          <w:numId w:val="2"/>
        </w:numPr>
        <w:spacing w:after="72" w:line="282"/>
      </w:pPr>
      <w:r>
        <w:rPr>
          <w:b/>
          <w:bCs/>
          <w:color w:val="05070A"/>
          <w:sz w:val="20"/>
          <w:szCs w:val="20"/>
        </w:rPr>
        <w:t xml:space="preserve">Entradas (inputs) y dónde encontrarlas. </w:t>
      </w:r>
      <w:r>
        <w:rPr>
          <w:color w:val="3A4348"/>
          <w:sz w:val="20"/>
          <w:szCs w:val="20"/>
        </w:rPr>
        <w:t xml:space="preserve">Qué material hace falta antes de empezar —documentos, datos, accesos— y, esencial, dónde vive cada cosa. No basta con decir «necesitas la factura»; hay que decir en qué carpeta está.</w:t>
      </w:r>
    </w:p>
    <w:p>
      <w:pPr>
        <w:pStyle w:val="ListParagraph"/>
        <w:numPr>
          <w:ilvl w:val="0"/>
          <w:numId w:val="2"/>
        </w:numPr>
        <w:spacing w:after="72" w:line="282"/>
      </w:pPr>
      <w:r>
        <w:rPr>
          <w:b/>
          <w:bCs/>
          <w:color w:val="05070A"/>
          <w:sz w:val="20"/>
          <w:szCs w:val="20"/>
        </w:rPr>
        <w:t xml:space="preserve">El procedimiento paso a paso. </w:t>
      </w:r>
      <w:r>
        <w:rPr>
          <w:color w:val="3A4348"/>
          <w:sz w:val="20"/>
          <w:szCs w:val="20"/>
        </w:rPr>
        <w:t xml:space="preserve">El núcleo: pasos numerados, en orden, cada uno empezando por un verbo de acción («Verifica…», «Envía…», «Registra…»), con la regla de un paso, una acción inequívoca. Y con puntos de decisión explícitos cuando el flujo se bifurca.</w:t>
      </w:r>
    </w:p>
    <w:p>
      <w:pPr>
        <w:pStyle w:val="ListParagraph"/>
        <w:numPr>
          <w:ilvl w:val="0"/>
          <w:numId w:val="2"/>
        </w:numPr>
        <w:spacing w:after="72" w:line="282"/>
      </w:pPr>
      <w:r>
        <w:rPr>
          <w:b/>
          <w:bCs/>
          <w:color w:val="05070A"/>
          <w:sz w:val="20"/>
          <w:szCs w:val="20"/>
        </w:rPr>
        <w:t xml:space="preserve">Salidas (outputs). </w:t>
      </w:r>
      <w:r>
        <w:rPr>
          <w:color w:val="3A4348"/>
          <w:sz w:val="20"/>
          <w:szCs w:val="20"/>
        </w:rPr>
        <w:t xml:space="preserve">Qué produce la SOP, dónde se guarda y a quién se avisa al terminar.</w:t>
      </w:r>
    </w:p>
    <w:p>
      <w:pPr>
        <w:spacing w:after="55" w:before="170"/>
      </w:pPr>
      <w:r>
        <w:rPr>
          <w:b/>
          <w:bCs/>
          <w:color w:val="05070A"/>
          <w:sz w:val="18"/>
          <w:szCs w:val="18"/>
        </w:rPr>
        <w:t xml:space="preserve">El disparador: cuándo y cómo arranca</w:t>
      </w:r>
    </w:p>
    <w:p>
      <w:pPr>
        <w:spacing w:after="120" w:line="288"/>
      </w:pPr>
      <w:r>
        <w:rPr>
          <w:i w:val="false"/>
          <w:iCs w:val="false"/>
          <w:color w:val="3A4348"/>
          <w:sz w:val="20"/>
          <w:szCs w:val="20"/>
        </w:rPr>
        <w:t xml:space="preserve">Una SOP tiene que decir explícitamente qué la pone en marcha. Hay tres tipos de disparador, y conviene nombrar cuál es: programado (arranca en un momento fijo —«cada lunes a las 9:00», «el día 1 de cada mes»—), ad hoc o bajo demanda (arranca cuando alguien lo pide), o por evento (arranca cuando ocurre algo concreto —«cuando entra un lead por el formulario», «cuando se firma un contrato»—). Una SOP sin disparador claro es una instrucción que nadie sabe cuándo ejecutar.</w:t>
      </w:r>
    </w:p>
    <w:p>
      <w:pPr>
        <w:spacing w:after="55" w:before="170"/>
      </w:pPr>
      <w:r>
        <w:rPr>
          <w:b/>
          <w:bCs/>
          <w:color w:val="05070A"/>
          <w:sz w:val="18"/>
          <w:szCs w:val="18"/>
        </w:rPr>
        <w:t xml:space="preserve">Referencias en vez de valores fijos</w:t>
      </w:r>
    </w:p>
    <w:tbl>
      <w:tblPr>
        <w:tblW w:type="dxa" w:w="9026"/>
        <w:tblBorders>
          <w:top w:val="none"/>
          <w:left w:val="single" w:color="0C6F7F" w:sz="18"/>
          <w:bottom w:val="none"/>
          <w:right w:val="none"/>
          <w:insideH w:val="none"/>
          <w:insideV w:val="none"/>
        </w:tblBorders>
      </w:tblPr>
      <w:tblGrid>
        <w:gridCol w:w="9026"/>
      </w:tblGrid>
      <w:tr>
        <w:tc>
          <w:tcPr>
            <w:tcW w:type="dxa" w:w="9026"/>
            <w:shd w:fill="EEF4F4" w:color="auto" w:val="clear"/>
            <w:tcMar>
              <w:top w:type="dxa" w:w="130"/>
              <w:left w:type="dxa" w:w="200"/>
              <w:bottom w:type="dxa" w:w="130"/>
              <w:right w:type="dxa" w:w="160"/>
            </w:tcMar>
          </w:tcPr>
          <w:p>
            <w:pPr>
              <w:spacing w:line="284"/>
            </w:pPr>
            <w:r>
              <w:rPr>
                <w:b/>
                <w:bCs/>
                <w:color w:val="05070A"/>
                <w:sz w:val="19"/>
                <w:szCs w:val="19"/>
              </w:rPr>
              <w:t xml:space="preserve">El principio que hace robusta una SOP. </w:t>
            </w:r>
            <w:r>
              <w:rPr>
                <w:color w:val="3A4348"/>
                <w:sz w:val="19"/>
                <w:szCs w:val="19"/>
              </w:rPr>
              <w:t xml:space="preserve">Todo lo que vaya a cambiar con el tiempo no se escribe directamente en la SOP: se referencia. Si el destino de la carpeta de facturas puede cambiar, la SOP no apunta a la ruta concreta, sino a una referencia —«la carpeta donde viven las facturas»—; el día que la carpeta se mueva, se actualiza un solo sitio y no veinte pasos. Este principio —referenciar en lugar de fijar valores «a fuego»— es lo que permite que una SOP sea a la vez muy estable (se cambia lo menos posible) y muy flexible (lo que cambia a menudo vive fuera, como referencia).</w:t>
            </w:r>
          </w:p>
        </w:tc>
      </w:tr>
    </w:tbl>
    <w:p>
      <w:pPr>
        <w:spacing w:after="55" w:before="170"/>
      </w:pPr>
      <w:r>
        <w:rPr>
          <w:b/>
          <w:bCs/>
          <w:color w:val="05070A"/>
          <w:sz w:val="18"/>
          <w:szCs w:val="18"/>
        </w:rPr>
        <w:t xml:space="preserve">ISO 9001: la disciplina sin la burocracia</w:t>
      </w:r>
    </w:p>
    <w:p>
      <w:pPr>
        <w:spacing w:after="120" w:line="288"/>
      </w:pPr>
      <w:r>
        <w:rPr>
          <w:i w:val="false"/>
          <w:iCs w:val="false"/>
          <w:color w:val="3A4348"/>
          <w:sz w:val="20"/>
          <w:szCs w:val="20"/>
        </w:rPr>
        <w:t xml:space="preserve">La norma de calidad más extendida del mundo, la ISO 9001, trata las SOPs bajo el concepto de «información documentada». Conviene saber que su versión vigente ya no obliga a tener un manual de calidad ni una lista fija de procedimientos: deja que cada empresa decida qué procesos merecen una SOP según su riesgo. Lo que sí pide, y es sensato para cualquiera aunque no busque certificarse, se reduce a cinco hábitos: que cada documento tenga título, identificador y versión; que tenga un dueño que lo aprueba; que haya control de versiones; que la versión vigente esté disponible donde se usa; y que se revise periódicamente para no trabajar con procedimientos obsoletos. Eso es el noventa por ciento del valor de la norma sin nada de su burocracia.</w:t>
      </w:r>
    </w:p>
    <w:p>
      <w:pPr>
        <w:spacing w:after="55" w:before="170"/>
      </w:pPr>
      <w:r>
        <w:rPr>
          <w:b/>
          <w:bCs/>
          <w:color w:val="05070A"/>
          <w:sz w:val="18"/>
          <w:szCs w:val="18"/>
        </w:rPr>
        <w:t xml:space="preserve">Tres formatos, según el proceso</w:t>
      </w:r>
    </w:p>
    <w:p>
      <w:pPr>
        <w:spacing w:after="120" w:line="288"/>
      </w:pPr>
      <w:r>
        <w:rPr>
          <w:i w:val="false"/>
          <w:iCs w:val="false"/>
          <w:color w:val="3A4348"/>
          <w:sz w:val="20"/>
          <w:szCs w:val="20"/>
        </w:rPr>
        <w:t xml:space="preserve">No todas las SOPs se escriben igual. Para un proceso corto y lineal, sin decisiones, basta una lista de pasos. Para uno más complejo con fases que no siempre van en orden estricto, conviene un formato jerárquico —pasos agrupados en bloques—. Y para un proceso con ramas y contingencias («¿es urgente?, ¿está en garantía?»), lo mejor es un diagrama de flujo. La regla: lineal a paso a paso; complejo sin orden fijo a jerárquico; con decisiones a diagrama.</w:t>
      </w:r>
    </w:p>
    <w:p>
      <w:pPr>
        <w:spacing w:after="55" w:before="170"/>
      </w:pPr>
      <w:r>
        <w:rPr>
          <w:b/>
          <w:bCs/>
          <w:color w:val="05070A"/>
          <w:sz w:val="18"/>
          <w:szCs w:val="18"/>
        </w:rPr>
        <w:t xml:space="preserve">La SOP agentizable: el foso de DÍA UNO</w:t>
      </w:r>
    </w:p>
    <w:p>
      <w:pPr>
        <w:spacing w:after="120" w:line="288"/>
      </w:pPr>
      <w:r>
        <w:rPr>
          <w:i w:val="false"/>
          <w:iCs w:val="false"/>
          <w:color w:val="3A4348"/>
          <w:sz w:val="20"/>
          <w:szCs w:val="20"/>
        </w:rPr>
        <w:t xml:space="preserve">Aquí está lo que separa una buena SOP de DÍA UNO de una SOP normal. Una SOP bien escrita para un humano ya está a medio camino de poder ser ejecutada por un agente de inteligencia artificial; la diferencia es el grado de explicitud. Un humano rellena los huecos con su criterio; un agente necesita que esos huecos estén escritos. Hacer una SOP «agentizable» no es escribir un documento distinto: es escribir la versión disciplinada de la misma plantilla. Lo que la vuelve ejecutable por una máquina es un puñado de cosas que, además, la hacen mejor para las personas:</w:t>
      </w:r>
    </w:p>
    <w:p>
      <w:pPr>
        <w:pStyle w:val="ListParagraph"/>
        <w:numPr>
          <w:ilvl w:val="0"/>
          <w:numId w:val="2"/>
        </w:numPr>
        <w:spacing w:after="72" w:line="282"/>
      </w:pPr>
      <w:r>
        <w:rPr>
          <w:b/>
          <w:bCs/>
          <w:color w:val="05070A"/>
          <w:sz w:val="20"/>
          <w:szCs w:val="20"/>
        </w:rPr>
        <w:t xml:space="preserve">Disparadores discretos y explícitos. </w:t>
      </w:r>
      <w:r>
        <w:rPr>
          <w:color w:val="3A4348"/>
          <w:sz w:val="20"/>
          <w:szCs w:val="20"/>
        </w:rPr>
        <w:t xml:space="preserve">Condiciones concretas que inician cada paso, no «cuando toque».</w:t>
      </w:r>
    </w:p>
    <w:p>
      <w:pPr>
        <w:pStyle w:val="ListParagraph"/>
        <w:numPr>
          <w:ilvl w:val="0"/>
          <w:numId w:val="2"/>
        </w:numPr>
        <w:spacing w:after="72" w:line="282"/>
      </w:pPr>
      <w:r>
        <w:rPr>
          <w:b/>
          <w:bCs/>
          <w:color w:val="05070A"/>
          <w:sz w:val="20"/>
          <w:szCs w:val="20"/>
        </w:rPr>
        <w:t xml:space="preserve">Entradas con su fuente. </w:t>
      </w:r>
      <w:r>
        <w:rPr>
          <w:color w:val="3A4348"/>
          <w:sz w:val="20"/>
          <w:szCs w:val="20"/>
        </w:rPr>
        <w:t xml:space="preserve">Cada dato que se necesita, y de dónde se saca exactamente.</w:t>
      </w:r>
    </w:p>
    <w:p>
      <w:pPr>
        <w:pStyle w:val="ListParagraph"/>
        <w:numPr>
          <w:ilvl w:val="0"/>
          <w:numId w:val="2"/>
        </w:numPr>
        <w:spacing w:after="72" w:line="282"/>
      </w:pPr>
      <w:r>
        <w:rPr>
          <w:b/>
          <w:bCs/>
          <w:color w:val="05070A"/>
          <w:sz w:val="20"/>
          <w:szCs w:val="20"/>
        </w:rPr>
        <w:t xml:space="preserve">Pasos inequívocos, con obligatoriedad calibrada. </w:t>
      </w:r>
      <w:r>
        <w:rPr>
          <w:color w:val="3A4348"/>
          <w:sz w:val="20"/>
          <w:szCs w:val="20"/>
        </w:rPr>
        <w:t xml:space="preserve">La práctica más avanzada usa palabras que marcan el nivel de exigencia de cada instrucción —lo que es obligatorio, lo recomendable y lo opcional—, para que no haya ambigüedad sobre qué se puede saltar y qué no.</w:t>
      </w:r>
    </w:p>
    <w:p>
      <w:pPr>
        <w:pStyle w:val="ListParagraph"/>
        <w:numPr>
          <w:ilvl w:val="0"/>
          <w:numId w:val="2"/>
        </w:numPr>
        <w:spacing w:after="72" w:line="282"/>
      </w:pPr>
      <w:r>
        <w:rPr>
          <w:b/>
          <w:bCs/>
          <w:color w:val="05070A"/>
          <w:sz w:val="20"/>
          <w:szCs w:val="20"/>
        </w:rPr>
        <w:t xml:space="preserve">Reglas de decisión tipadas. </w:t>
      </w:r>
      <w:r>
        <w:rPr>
          <w:color w:val="3A4348"/>
          <w:sz w:val="20"/>
          <w:szCs w:val="20"/>
        </w:rPr>
        <w:t xml:space="preserve">Las bifurcaciones ancladas a hechos observables y mutuamente excluyentes («si el estado es enviado…»), no a juicios vagos.</w:t>
      </w:r>
    </w:p>
    <w:p>
      <w:pPr>
        <w:pStyle w:val="ListParagraph"/>
        <w:numPr>
          <w:ilvl w:val="0"/>
          <w:numId w:val="2"/>
        </w:numPr>
        <w:spacing w:after="72" w:line="282"/>
      </w:pPr>
      <w:r>
        <w:rPr>
          <w:b/>
          <w:bCs/>
          <w:color w:val="05070A"/>
          <w:sz w:val="20"/>
          <w:szCs w:val="20"/>
        </w:rPr>
        <w:t xml:space="preserve">Parámetros en vez de valores fijos. </w:t>
      </w:r>
      <w:r>
        <w:rPr>
          <w:color w:val="3A4348"/>
          <w:sz w:val="20"/>
          <w:szCs w:val="20"/>
        </w:rPr>
        <w:t xml:space="preserve">La misma SOP sirve para muchos casos cambiando sus parámetros — el equivalente de máquina del principio de «referenciar, no fijar».</w:t>
      </w:r>
    </w:p>
    <w:p>
      <w:pPr>
        <w:pStyle w:val="ListParagraph"/>
        <w:numPr>
          <w:ilvl w:val="0"/>
          <w:numId w:val="2"/>
        </w:numPr>
        <w:spacing w:after="72" w:line="282"/>
      </w:pPr>
      <w:r>
        <w:rPr>
          <w:b/>
          <w:bCs/>
          <w:color w:val="05070A"/>
          <w:sz w:val="20"/>
          <w:szCs w:val="20"/>
        </w:rPr>
        <w:t xml:space="preserve">Guardarraíles: validación y escalado. </w:t>
      </w:r>
      <w:r>
        <w:rPr>
          <w:color w:val="3A4348"/>
          <w:sz w:val="20"/>
          <w:szCs w:val="20"/>
        </w:rPr>
        <w:t xml:space="preserve">Qué acciones exigen una comprobación, y cuándo el agente NO debe actuar solo y tiene que escalar a una persona.</w:t>
      </w:r>
    </w:p>
    <w:p>
      <w:pPr>
        <w:pStyle w:val="ListParagraph"/>
        <w:numPr>
          <w:ilvl w:val="0"/>
          <w:numId w:val="2"/>
        </w:numPr>
        <w:spacing w:after="72" w:line="282"/>
      </w:pPr>
      <w:r>
        <w:rPr>
          <w:b/>
          <w:bCs/>
          <w:color w:val="05070A"/>
          <w:sz w:val="20"/>
          <w:szCs w:val="20"/>
        </w:rPr>
        <w:t xml:space="preserve">Salidas y criterio de éxito definidos, y trazabilidad. </w:t>
      </w:r>
      <w:r>
        <w:rPr>
          <w:color w:val="3A4348"/>
          <w:sz w:val="20"/>
          <w:szCs w:val="20"/>
        </w:rPr>
        <w:t xml:space="preserve">Qué hay que producir, cómo se sabe que salió bien, y un registro de lo que se hizo para poder retomar si algo se rompe.</w:t>
      </w:r>
    </w:p>
    <w:p>
      <w:pPr>
        <w:spacing w:after="120" w:line="288"/>
      </w:pPr>
      <w:r>
        <w:rPr>
          <w:i w:val="false"/>
          <w:iCs w:val="false"/>
          <w:color w:val="3A4348"/>
          <w:sz w:val="20"/>
          <w:szCs w:val="20"/>
        </w:rPr>
        <w:t xml:space="preserve">El equilibrio que se busca es lo que en el mundo de los agentes se llama, medio en broma, «determinístico a medias»: estructurado lo suficiente para garantizar un resultado consistente, pero flexible para que el agente use su criterio en los pocos puntos donde ayuda. Demasiado rígido y es un guion frágil; demasiado vago y el comportamiento es impredecible. Una SOP de DÍA UNO se escribe pensando en ese punto medio — y por eso, cuando la empresa esté lista para agentizar ese proceso, la SOP ya estará casi lista para que la ejecute un agente.</w:t>
      </w:r>
    </w:p>
    <w:p>
      <w:pPr>
        <w:spacing w:after="110" w:before="300"/>
      </w:pPr>
      <w:r>
        <w:rPr>
          <w:b/>
          <w:bCs/>
          <w:color w:val="0C6F7F"/>
          <w:spacing w:val="15"/>
          <w:sz w:val="21"/>
          <w:szCs w:val="21"/>
        </w:rPr>
        <w:t xml:space="preserve">4 · Resultado e impacto</w:t>
      </w:r>
    </w:p>
    <w:p>
      <w:pPr>
        <w:pStyle w:val="ListParagraph"/>
        <w:numPr>
          <w:ilvl w:val="0"/>
          <w:numId w:val="2"/>
        </w:numPr>
        <w:spacing w:after="72" w:line="282"/>
      </w:pPr>
      <w:r>
        <w:rPr>
          <w:b/>
          <w:bCs/>
          <w:color w:val="05070A"/>
          <w:sz w:val="20"/>
          <w:szCs w:val="20"/>
        </w:rPr>
        <w:t xml:space="preserve">Si se hace bien: </w:t>
      </w:r>
      <w:r>
        <w:rPr>
          <w:color w:val="3A4348"/>
          <w:sz w:val="20"/>
          <w:szCs w:val="20"/>
        </w:rPr>
        <w:t xml:space="preserve">el trabajo sale igual con quien esté, las incorporaciones ejecutan desde el primer día, los procesos se pueden mejorar porque están estandarizados, y cada SOP es un candidato listo para agentizarse cuando llegue el momento.</w:t>
      </w:r>
    </w:p>
    <w:p>
      <w:pPr>
        <w:pStyle w:val="ListParagraph"/>
        <w:numPr>
          <w:ilvl w:val="0"/>
          <w:numId w:val="2"/>
        </w:numPr>
        <w:spacing w:after="72" w:line="282"/>
      </w:pPr>
      <w:r>
        <w:rPr>
          <w:b/>
          <w:bCs/>
          <w:color w:val="05070A"/>
          <w:sz w:val="20"/>
          <w:szCs w:val="20"/>
        </w:rPr>
        <w:t xml:space="preserve">Si no se hace, o se hace mal: </w:t>
      </w:r>
      <w:r>
        <w:rPr>
          <w:color w:val="3A4348"/>
          <w:sz w:val="20"/>
          <w:szCs w:val="20"/>
        </w:rPr>
        <w:t xml:space="preserve">el negocio depende de personas insustituibles, cada baja es una crisis, incorporar cuesta semanas, y no se puede mejorar lo que no está escrito. Una SOP escrita como una novela, o desactualizada, enseña además al equipo que «las SOPs no sirven».</w:t>
      </w:r>
    </w:p>
    <w:p>
      <w:pPr>
        <w:spacing w:after="110" w:before="300"/>
      </w:pPr>
      <w:r>
        <w:rPr>
          <w:b/>
          <w:bCs/>
          <w:color w:val="0C6F7F"/>
          <w:spacing w:val="15"/>
          <w:sz w:val="21"/>
          <w:szCs w:val="21"/>
        </w:rPr>
        <w:t xml:space="preserve">5 · La escala de madurez (1-10)</w:t>
      </w:r>
    </w:p>
    <w:tbl>
      <w:tblPr>
        <w:tblW w:type="dxa" w:w="9026"/>
        <w:tblBorders>
          <w:top w:val="single" w:color="D5DCDD" w:sz="4"/>
          <w:left w:val="single" w:color="D5DCDD" w:sz="4"/>
          <w:bottom w:val="single" w:color="D5DCDD" w:sz="4"/>
          <w:right w:val="single" w:color="D5DCDD" w:sz="4"/>
          <w:insideH w:val="single" w:color="D5DCDD" w:sz="4"/>
          <w:insideV w:val="single" w:color="D5DCDD" w:sz="4"/>
        </w:tblBorders>
      </w:tblPr>
      <w:tblGrid>
        <w:gridCol w:w="2100"/>
        <w:gridCol w:w="6926"/>
      </w:tblGrid>
      <w:tr>
        <w:trPr>
          <w:tblHeader/>
        </w:trPr>
        <w:tc>
          <w:tcPr>
            <w:tcW w:type="dxa" w:w="2100"/>
            <w:shd w:fill="0C6F7F" w:color="auto" w:val="clear"/>
            <w:tcMar>
              <w:top w:type="dxa" w:w="90"/>
              <w:left w:type="dxa" w:w="130"/>
              <w:bottom w:type="dxa" w:w="90"/>
              <w:right w:type="dxa" w:w="130"/>
            </w:tcMar>
          </w:tcPr>
          <w:p>
            <w:r>
              <w:rPr>
                <w:b/>
                <w:bCs/>
                <w:color w:val="FFFFFF"/>
                <w:sz w:val="16"/>
                <w:szCs w:val="16"/>
              </w:rPr>
              <w:t xml:space="preserve">Zona</w:t>
            </w:r>
          </w:p>
        </w:tc>
        <w:tc>
          <w:tcPr>
            <w:tcW w:type="dxa" w:w="6926"/>
            <w:shd w:fill="0C6F7F" w:color="auto" w:val="clear"/>
            <w:tcMar>
              <w:top w:type="dxa" w:w="90"/>
              <w:left w:type="dxa" w:w="130"/>
              <w:bottom w:type="dxa" w:w="90"/>
              <w:right w:type="dxa" w:w="130"/>
            </w:tcMar>
          </w:tcPr>
          <w:p>
            <w:r>
              <w:rPr>
                <w:b/>
                <w:bCs/>
                <w:color w:val="FFFFFF"/>
                <w:sz w:val="16"/>
                <w:szCs w:val="16"/>
              </w:rPr>
              <w:t xml:space="preserve">Cómo se ven las SOPs</w:t>
            </w:r>
          </w:p>
        </w:tc>
      </w:tr>
      <w:tr>
        <w:tc>
          <w:tcPr>
            <w:tcW w:type="dxa" w:w="2100"/>
            <w:tcMar>
              <w:top w:type="dxa" w:w="90"/>
              <w:left w:type="dxa" w:w="130"/>
              <w:bottom w:type="dxa" w:w="90"/>
              <w:right w:type="dxa" w:w="130"/>
            </w:tcMar>
          </w:tcPr>
          <w:p>
            <w:pPr>
              <w:spacing w:line="264"/>
            </w:pPr>
            <w:r>
              <w:rPr>
                <w:b/>
                <w:bCs/>
                <w:color w:val="05070A"/>
                <w:sz w:val="16"/>
                <w:szCs w:val="16"/>
              </w:rPr>
              <w:t xml:space="preserve">1-2 · Inexistente</w:t>
            </w:r>
          </w:p>
        </w:tc>
        <w:tc>
          <w:tcPr>
            <w:tcW w:type="dxa" w:w="6926"/>
            <w:tcMar>
              <w:top w:type="dxa" w:w="90"/>
              <w:left w:type="dxa" w:w="130"/>
              <w:bottom w:type="dxa" w:w="90"/>
              <w:right w:type="dxa" w:w="130"/>
            </w:tcMar>
          </w:tcPr>
          <w:p>
            <w:pPr>
              <w:spacing w:line="264"/>
            </w:pPr>
            <w:r>
              <w:rPr>
                <w:b w:val="false"/>
                <w:bCs w:val="false"/>
                <w:color w:val="3A4348"/>
                <w:sz w:val="16"/>
                <w:szCs w:val="16"/>
              </w:rPr>
              <w:t xml:space="preserve">Nada escrito; cada proceso vive en la cabeza de quien lo hace.</w:t>
            </w:r>
          </w:p>
        </w:tc>
      </w:tr>
      <w:tr>
        <w:tc>
          <w:tcPr>
            <w:tcW w:type="dxa" w:w="2100"/>
            <w:tcMar>
              <w:top w:type="dxa" w:w="90"/>
              <w:left w:type="dxa" w:w="130"/>
              <w:bottom w:type="dxa" w:w="90"/>
              <w:right w:type="dxa" w:w="130"/>
            </w:tcMar>
          </w:tcPr>
          <w:p>
            <w:pPr>
              <w:spacing w:line="264"/>
            </w:pPr>
            <w:r>
              <w:rPr>
                <w:b/>
                <w:bCs/>
                <w:color w:val="05070A"/>
                <w:sz w:val="16"/>
                <w:szCs w:val="16"/>
              </w:rPr>
              <w:t xml:space="preserve">3-4 · Tácito</w:t>
            </w:r>
          </w:p>
        </w:tc>
        <w:tc>
          <w:tcPr>
            <w:tcW w:type="dxa" w:w="6926"/>
            <w:tcMar>
              <w:top w:type="dxa" w:w="90"/>
              <w:left w:type="dxa" w:w="130"/>
              <w:bottom w:type="dxa" w:w="90"/>
              <w:right w:type="dxa" w:w="130"/>
            </w:tcMar>
          </w:tcPr>
          <w:p>
            <w:pPr>
              <w:spacing w:line="264"/>
            </w:pPr>
            <w:r>
              <w:rPr>
                <w:b w:val="false"/>
                <w:bCs w:val="false"/>
                <w:color w:val="3A4348"/>
                <w:sz w:val="16"/>
                <w:szCs w:val="16"/>
              </w:rPr>
              <w:t xml:space="preserve">Alguna nota suelta o un vídeo, pero nada estandarizado ni fiable.</w:t>
            </w:r>
          </w:p>
        </w:tc>
      </w:tr>
      <w:tr>
        <w:tc>
          <w:tcPr>
            <w:tcW w:type="dxa" w:w="2100"/>
            <w:tcMar>
              <w:top w:type="dxa" w:w="90"/>
              <w:left w:type="dxa" w:w="130"/>
              <w:bottom w:type="dxa" w:w="90"/>
              <w:right w:type="dxa" w:w="130"/>
            </w:tcMar>
          </w:tcPr>
          <w:p>
            <w:pPr>
              <w:spacing w:line="264"/>
            </w:pPr>
            <w:r>
              <w:rPr>
                <w:b/>
                <w:bCs/>
                <w:color w:val="05070A"/>
                <w:sz w:val="16"/>
                <w:szCs w:val="16"/>
              </w:rPr>
              <w:t xml:space="preserve">5-6 · Documentado</w:t>
            </w:r>
          </w:p>
        </w:tc>
        <w:tc>
          <w:tcPr>
            <w:tcW w:type="dxa" w:w="6926"/>
            <w:tcMar>
              <w:top w:type="dxa" w:w="90"/>
              <w:left w:type="dxa" w:w="130"/>
              <w:bottom w:type="dxa" w:w="90"/>
              <w:right w:type="dxa" w:w="130"/>
            </w:tcMar>
          </w:tcPr>
          <w:p>
            <w:pPr>
              <w:spacing w:line="264"/>
            </w:pPr>
            <w:r>
              <w:rPr>
                <w:b w:val="false"/>
                <w:bCs w:val="false"/>
                <w:color w:val="3A4348"/>
                <w:sz w:val="16"/>
                <w:szCs w:val="16"/>
              </w:rPr>
              <w:t xml:space="preserve">Hay SOPs, pero son prosa densa, están desactualizadas o no llevan disparador, entradas ni salidas claras.</w:t>
            </w:r>
          </w:p>
        </w:tc>
      </w:tr>
      <w:tr>
        <w:tc>
          <w:tcPr>
            <w:tcW w:type="dxa" w:w="2100"/>
            <w:tcMar>
              <w:top w:type="dxa" w:w="90"/>
              <w:left w:type="dxa" w:w="130"/>
              <w:bottom w:type="dxa" w:w="90"/>
              <w:right w:type="dxa" w:w="130"/>
            </w:tcMar>
          </w:tcPr>
          <w:p>
            <w:pPr>
              <w:spacing w:line="264"/>
            </w:pPr>
            <w:r>
              <w:rPr>
                <w:b/>
                <w:bCs/>
                <w:color w:val="05070A"/>
                <w:sz w:val="16"/>
                <w:szCs w:val="16"/>
              </w:rPr>
              <w:t xml:space="preserve">7-8 · Operativo</w:t>
            </w:r>
          </w:p>
        </w:tc>
        <w:tc>
          <w:tcPr>
            <w:tcW w:type="dxa" w:w="6926"/>
            <w:tcMar>
              <w:top w:type="dxa" w:w="90"/>
              <w:left w:type="dxa" w:w="130"/>
              <w:bottom w:type="dxa" w:w="90"/>
              <w:right w:type="dxa" w:w="130"/>
            </w:tcMar>
          </w:tcPr>
          <w:p>
            <w:pPr>
              <w:spacing w:line="264"/>
            </w:pPr>
            <w:r>
              <w:rPr>
                <w:b w:val="false"/>
                <w:bCs w:val="false"/>
                <w:color w:val="3A4348"/>
                <w:sz w:val="16"/>
                <w:szCs w:val="16"/>
              </w:rPr>
              <w:t xml:space="preserve">SOPs con anatomía completa, por rol, con disparador, entradas ubicadas y pasos con verbo; una persona nueva las ejecuta sin ayuda.</w:t>
            </w:r>
          </w:p>
        </w:tc>
      </w:tr>
      <w:tr>
        <w:tc>
          <w:tcPr>
            <w:tcW w:type="dxa" w:w="2100"/>
            <w:tcMar>
              <w:top w:type="dxa" w:w="90"/>
              <w:left w:type="dxa" w:w="130"/>
              <w:bottom w:type="dxa" w:w="90"/>
              <w:right w:type="dxa" w:w="130"/>
            </w:tcMar>
          </w:tcPr>
          <w:p>
            <w:pPr>
              <w:spacing w:line="264"/>
            </w:pPr>
            <w:r>
              <w:rPr>
                <w:b/>
                <w:bCs/>
                <w:color w:val="05070A"/>
                <w:sz w:val="16"/>
                <w:szCs w:val="16"/>
              </w:rPr>
              <w:t xml:space="preserve">9-10 · Optimizable por IA</w:t>
            </w:r>
          </w:p>
        </w:tc>
        <w:tc>
          <w:tcPr>
            <w:tcW w:type="dxa" w:w="6926"/>
            <w:tcMar>
              <w:top w:type="dxa" w:w="90"/>
              <w:left w:type="dxa" w:w="130"/>
              <w:bottom w:type="dxa" w:w="90"/>
              <w:right w:type="dxa" w:w="130"/>
            </w:tcMar>
          </w:tcPr>
          <w:p>
            <w:pPr>
              <w:spacing w:line="264"/>
            </w:pPr>
            <w:r>
              <w:rPr>
                <w:b w:val="false"/>
                <w:bCs w:val="false"/>
                <w:color w:val="3A4348"/>
                <w:sz w:val="16"/>
                <w:szCs w:val="16"/>
              </w:rPr>
              <w:t xml:space="preserve">Tan explícitas (disparadores, reglas de decisión, guardarraíles) que un agente puede ejecutar la parte reglada, escalando a un humano donde toca.</w:t>
            </w:r>
          </w:p>
        </w:tc>
      </w:tr>
    </w:tbl>
    <w:p>
      <w:pPr>
        <w:spacing w:after="110" w:before="300"/>
      </w:pPr>
      <w:r>
        <w:rPr>
          <w:b/>
          <w:bCs/>
          <w:color w:val="0C6F7F"/>
          <w:spacing w:val="15"/>
          <w:sz w:val="21"/>
          <w:szCs w:val="21"/>
        </w:rPr>
        <w:t xml:space="preserve">6 · Entradas y salidas</w:t>
      </w:r>
    </w:p>
    <w:p>
      <w:pPr>
        <w:pStyle w:val="ListParagraph"/>
        <w:numPr>
          <w:ilvl w:val="0"/>
          <w:numId w:val="2"/>
        </w:numPr>
        <w:spacing w:after="72" w:line="282"/>
      </w:pPr>
      <w:r>
        <w:rPr>
          <w:b/>
          <w:bCs/>
          <w:color w:val="05070A"/>
          <w:sz w:val="20"/>
          <w:szCs w:val="20"/>
        </w:rPr>
        <w:t xml:space="preserve">De qué depende. </w:t>
      </w:r>
      <w:r>
        <w:rPr>
          <w:color w:val="3A4348"/>
          <w:sz w:val="20"/>
          <w:szCs w:val="20"/>
        </w:rPr>
        <w:t xml:space="preserve">Del mapa de procesos (06), que dice qué procesos son críticos y merecen una SOP —no se documenta todo, se documenta lo que mueve el dinero y lo que se rompe—. Y de la Matriz de decisiones (04), cuyas cuantías y límites (quién puede aprobar hasta cuánto) viven también dentro de la SOP del proceso que regulan.</w:t>
      </w:r>
    </w:p>
    <w:p>
      <w:pPr>
        <w:pStyle w:val="ListParagraph"/>
        <w:numPr>
          <w:ilvl w:val="0"/>
          <w:numId w:val="2"/>
        </w:numPr>
        <w:spacing w:after="72" w:line="282"/>
      </w:pPr>
      <w:r>
        <w:rPr>
          <w:b/>
          <w:bCs/>
          <w:color w:val="05070A"/>
          <w:sz w:val="20"/>
          <w:szCs w:val="20"/>
        </w:rPr>
        <w:t xml:space="preserve">Qué alimenta. </w:t>
      </w:r>
      <w:r>
        <w:rPr>
          <w:color w:val="3A4348"/>
          <w:sz w:val="20"/>
          <w:szCs w:val="20"/>
        </w:rPr>
        <w:t xml:space="preserve">Al Panel de indicadores (12) y a la definición de datos, porque en los pasos de una SOP es donde nacen muchos de los datos que la empresa mide («aquí se registra la fecha de entrega»); al sistema de aprendizaje continuo (15), porque cuando algo sale mal, la mejora casi siempre acaba en cambiar una SOP; y a la agentización, porque una SOP Operativa es la unidad que un agente puede asumir.</w:t>
      </w:r>
    </w:p>
    <w:p>
      <w:pPr>
        <w:spacing w:after="110" w:before="300"/>
      </w:pPr>
      <w:r>
        <w:rPr>
          <w:b/>
          <w:bCs/>
          <w:color w:val="0C6F7F"/>
          <w:spacing w:val="15"/>
          <w:sz w:val="21"/>
          <w:szCs w:val="21"/>
        </w:rPr>
        <w:t xml:space="preserve">7 · Cómo se lleva al equipo</w:t>
      </w:r>
    </w:p>
    <w:p>
      <w:pPr>
        <w:spacing w:after="120" w:line="288"/>
      </w:pPr>
      <w:r>
        <w:rPr>
          <w:i w:val="false"/>
          <w:iCs w:val="false"/>
          <w:color w:val="3A4348"/>
          <w:sz w:val="20"/>
          <w:szCs w:val="20"/>
        </w:rPr>
        <w:t xml:space="preserve">Escribir SOPs tiene mala fama: suena a burocracia, a control, a papeleo que nadie leerá. La forma de vencer esa resistencia es doble. Primero, quién las escribe: las mejores SOPs las escribe —o al menos las dicta— la persona que hace el trabajo, no un jefe desde fuera; nadie conoce el proceso como quien lo ejecuta, y participar en escribirlo lo convierte en autor en vez de en fiscalizado. Segundo, el propósito: se explica que la SOP no es para vigilar, sino para liberar —para que esa persona pueda irse de vacaciones sin que se caiga nada, para que no la interrumpan cada vez que alguien nuevo tiene una duda, para que su conocimiento valga más porque está capturado—. Y ayuda no pretender documentarlo todo de golpe: empezar por las pocas SOPs de los procesos que más duelen demuestra el valor antes de pedir el esfuerzo grande.</w:t>
      </w:r>
    </w:p>
    <w:p>
      <w:pPr>
        <w:spacing w:after="110" w:before="300"/>
      </w:pPr>
      <w:r>
        <w:rPr>
          <w:b/>
          <w:bCs/>
          <w:color w:val="0C6F7F"/>
          <w:spacing w:val="15"/>
          <w:sz w:val="21"/>
          <w:szCs w:val="21"/>
        </w:rPr>
        <w:t xml:space="preserve">8 · Cómo se rellena</w:t>
      </w:r>
    </w:p>
    <w:p>
      <w:pPr>
        <w:pStyle w:val="ListParagraph"/>
        <w:numPr>
          <w:ilvl w:val="0"/>
          <w:numId w:val="3"/>
        </w:numPr>
        <w:spacing w:after="92" w:line="282"/>
      </w:pPr>
      <w:r>
        <w:rPr>
          <w:b/>
          <w:bCs/>
          <w:color w:val="05070A"/>
          <w:sz w:val="20"/>
          <w:szCs w:val="20"/>
        </w:rPr>
        <w:t xml:space="preserve">Elige un proceso crítico del mapa. </w:t>
      </w:r>
      <w:r>
        <w:rPr>
          <w:color w:val="3A4348"/>
          <w:sz w:val="20"/>
          <w:szCs w:val="20"/>
        </w:rPr>
        <w:t xml:space="preserve">No documentes todo: empieza por los pasos del mapa (06) donde la variabilidad o el error duelen.</w:t>
      </w:r>
    </w:p>
    <w:p>
      <w:pPr>
        <w:pStyle w:val="ListParagraph"/>
        <w:numPr>
          <w:ilvl w:val="0"/>
          <w:numId w:val="3"/>
        </w:numPr>
        <w:spacing w:after="92" w:line="282"/>
      </w:pPr>
      <w:r>
        <w:rPr>
          <w:b/>
          <w:bCs/>
          <w:color w:val="05070A"/>
          <w:sz w:val="20"/>
          <w:szCs w:val="20"/>
        </w:rPr>
        <w:t xml:space="preserve">Rellena la cabecera y el encuadre. </w:t>
      </w:r>
      <w:r>
        <w:rPr>
          <w:color w:val="3A4348"/>
          <w:sz w:val="20"/>
          <w:szCs w:val="20"/>
        </w:rPr>
        <w:t xml:space="preserve">Título específico, ID, versión, owner. Objeto, alcance, disparador (programado / ad hoc / por evento), y las entradas con su ubicación.</w:t>
      </w:r>
    </w:p>
    <w:p>
      <w:pPr>
        <w:pStyle w:val="ListParagraph"/>
        <w:numPr>
          <w:ilvl w:val="0"/>
          <w:numId w:val="3"/>
        </w:numPr>
        <w:spacing w:after="92" w:line="282"/>
      </w:pPr>
      <w:r>
        <w:rPr>
          <w:b/>
          <w:bCs/>
          <w:color w:val="05070A"/>
          <w:sz w:val="20"/>
          <w:szCs w:val="20"/>
        </w:rPr>
        <w:t xml:space="preserve">Escribe los pasos con verbo. </w:t>
      </w:r>
      <w:r>
        <w:rPr>
          <w:color w:val="3A4348"/>
          <w:sz w:val="20"/>
          <w:szCs w:val="20"/>
        </w:rPr>
        <w:t xml:space="preserve">Numerados, un paso una acción, empezando por un verbo. Donde algo cambie a menudo, referéncialo en vez de fijarlo. Marca los puntos de decisión y sus reglas.</w:t>
      </w:r>
    </w:p>
    <w:p>
      <w:pPr>
        <w:pStyle w:val="ListParagraph"/>
        <w:numPr>
          <w:ilvl w:val="0"/>
          <w:numId w:val="3"/>
        </w:numPr>
        <w:spacing w:after="92" w:line="282"/>
      </w:pPr>
      <w:r>
        <w:rPr>
          <w:b/>
          <w:bCs/>
          <w:color w:val="05070A"/>
          <w:sz w:val="20"/>
          <w:szCs w:val="20"/>
        </w:rPr>
        <w:t xml:space="preserve">Define las salidas. </w:t>
      </w:r>
      <w:r>
        <w:rPr>
          <w:color w:val="3A4348"/>
          <w:sz w:val="20"/>
          <w:szCs w:val="20"/>
        </w:rPr>
        <w:t xml:space="preserve">Qué se produce, dónde se guarda, a quién se avisa, y cómo se sabe que salió bien.</w:t>
      </w:r>
    </w:p>
    <w:p>
      <w:pPr>
        <w:pStyle w:val="ListParagraph"/>
        <w:numPr>
          <w:ilvl w:val="0"/>
          <w:numId w:val="3"/>
        </w:numPr>
        <w:spacing w:after="92" w:line="282"/>
      </w:pPr>
      <w:r>
        <w:rPr>
          <w:b/>
          <w:bCs/>
          <w:color w:val="05070A"/>
          <w:sz w:val="20"/>
          <w:szCs w:val="20"/>
        </w:rPr>
        <w:t xml:space="preserve">Pásale la prueba del novato. </w:t>
      </w:r>
      <w:r>
        <w:rPr>
          <w:color w:val="3A4348"/>
          <w:sz w:val="20"/>
          <w:szCs w:val="20"/>
        </w:rPr>
        <w:t xml:space="preserve">Dásela a alguien que no haya hecho nunca ese proceso. Si lo ejecuta sin preguntar, está lista; donde pregunte, falta detalle.</w:t>
      </w:r>
    </w:p>
    <w:tbl>
      <w:tblPr>
        <w:tblW w:type="dxa" w:w="9026"/>
        <w:tblBorders>
          <w:top w:val="none"/>
          <w:left w:val="single" w:color="0C6F7F" w:sz="18"/>
          <w:bottom w:val="none"/>
          <w:right w:val="none"/>
          <w:insideH w:val="none"/>
          <w:insideV w:val="none"/>
        </w:tblBorders>
      </w:tblPr>
      <w:tblGrid>
        <w:gridCol w:w="9026"/>
      </w:tblGrid>
      <w:tr>
        <w:tc>
          <w:tcPr>
            <w:tcW w:type="dxa" w:w="9026"/>
            <w:shd w:fill="F3EEDC" w:color="auto" w:val="clear"/>
            <w:tcMar>
              <w:top w:type="dxa" w:w="130"/>
              <w:left w:type="dxa" w:w="200"/>
              <w:bottom w:type="dxa" w:w="130"/>
              <w:right w:type="dxa" w:w="160"/>
            </w:tcMar>
          </w:tcPr>
          <w:p>
            <w:pPr>
              <w:spacing w:line="284"/>
            </w:pPr>
            <w:r>
              <w:rPr>
                <w:b/>
                <w:bCs/>
                <w:color w:val="05070A"/>
                <w:sz w:val="19"/>
                <w:szCs w:val="19"/>
              </w:rPr>
              <w:t xml:space="preserve">Un ojo en la ISO y otro en el agente. </w:t>
            </w:r>
            <w:r>
              <w:rPr>
                <w:color w:val="3A4348"/>
                <w:sz w:val="19"/>
                <w:szCs w:val="19"/>
              </w:rPr>
              <w:t xml:space="preserve">Al cerrarla, comprueba que cumple los cinco hábitos de la ISO 9001 (título, ID, versión, owner, vigencia) y que es lo bastante explícita para que, el día de mañana, un agente pudiera ejecutarla: disparador claro, entradas con fuente, pasos inequívocos, reglas de decisión y salidas. Escribir así desde el principio no cuesta más y ahorra reescribirla cuando llegue la agentización.</w:t>
            </w:r>
          </w:p>
        </w:tc>
      </w:tr>
    </w:tbl>
    <w:p>
      <w:pPr>
        <w:spacing w:after="110" w:before="300"/>
      </w:pPr>
      <w:r>
        <w:rPr>
          <w:b/>
          <w:bCs/>
          <w:color w:val="0C6F7F"/>
          <w:spacing w:val="15"/>
          <w:sz w:val="21"/>
          <w:szCs w:val="21"/>
        </w:rPr>
        <w:t xml:space="preserve">9 · La forma agéntica</w:t>
      </w:r>
    </w:p>
    <w:p>
      <w:pPr>
        <w:spacing w:after="120" w:line="288"/>
      </w:pPr>
      <w:r>
        <w:rPr>
          <w:i w:val="false"/>
          <w:iCs w:val="false"/>
          <w:color w:val="3A4348"/>
          <w:sz w:val="20"/>
          <w:szCs w:val="20"/>
        </w:rPr>
        <w:t xml:space="preserve">La SOP es, de todas las herramientas de DÍA UNO, la que más directamente se agentiza — porque una SOP bien hecha es, literalmente, un programa escrito en lenguaje natural. Cuando una SOP está Operativa, un agente puede asumir su parte reglada: dispararse con la condición definida, recoger las entradas de donde la SOP dice que están, ejecutar los pasos inequívocos, aplicar las reglas de decisión, producir las salidas y avisar a quien toca, dejando un registro de lo que hizo. Y —esto es lo importante— escalando a una persona en los puntos donde la propia SOP marca que hace falta criterio humano. La forma técnica de ver una SOP agentizable es como un grafo: los pasos son las acciones que el sistema puede tomar, y las reglas de decisión son las transiciones entre ellas. El agente no inventa el proceso; recorre el que la empresa escribió, dentro de las vallas que la empresa puso. Por eso escribir buenas SOPs no es solo ordenar el presente: es construir, ladrillo a ladrillo, la empresa que una capa de agentes podrá sostener.</w:t>
      </w:r>
    </w:p>
    <w:p>
      <w:pPr>
        <w:spacing w:after="110" w:before="300"/>
      </w:pPr>
      <w:r>
        <w:rPr>
          <w:b/>
          <w:bCs/>
          <w:color w:val="0C6F7F"/>
          <w:spacing w:val="15"/>
          <w:sz w:val="21"/>
          <w:szCs w:val="21"/>
        </w:rPr>
        <w:t xml:space="preserve">10 · El mínimo innegociable</w:t>
      </w:r>
    </w:p>
    <w:p>
      <w:pPr>
        <w:pStyle w:val="ListParagraph"/>
        <w:numPr>
          <w:ilvl w:val="0"/>
          <w:numId w:val="2"/>
        </w:numPr>
        <w:spacing w:after="72" w:line="282"/>
      </w:pPr>
      <w:r>
        <w:rPr>
          <w:b/>
          <w:bCs/>
          <w:color w:val="05070A"/>
          <w:sz w:val="20"/>
          <w:szCs w:val="20"/>
        </w:rPr>
        <w:t xml:space="preserve">Ejecutable por alguien sin experiencia. </w:t>
      </w:r>
      <w:r>
        <w:rPr>
          <w:color w:val="3A4348"/>
          <w:sz w:val="20"/>
          <w:szCs w:val="20"/>
        </w:rPr>
        <w:t xml:space="preserve">La prueba del novato: si necesita que se lo expliquen, falta detalle.</w:t>
      </w:r>
    </w:p>
    <w:p>
      <w:pPr>
        <w:pStyle w:val="ListParagraph"/>
        <w:numPr>
          <w:ilvl w:val="0"/>
          <w:numId w:val="2"/>
        </w:numPr>
        <w:spacing w:after="72" w:line="282"/>
      </w:pPr>
      <w:r>
        <w:rPr>
          <w:b/>
          <w:bCs/>
          <w:color w:val="05070A"/>
          <w:sz w:val="20"/>
          <w:szCs w:val="20"/>
        </w:rPr>
        <w:t xml:space="preserve">Con cabecera, disparador, entradas (con ubicación), pasos con verbo y salidas. </w:t>
      </w:r>
      <w:r>
        <w:rPr>
          <w:color w:val="3A4348"/>
          <w:sz w:val="20"/>
          <w:szCs w:val="20"/>
        </w:rPr>
        <w:t xml:space="preserve">La anatomía mínima que la hace seguible.</w:t>
      </w:r>
    </w:p>
    <w:p>
      <w:pPr>
        <w:pStyle w:val="ListParagraph"/>
        <w:numPr>
          <w:ilvl w:val="0"/>
          <w:numId w:val="2"/>
        </w:numPr>
        <w:spacing w:after="72" w:line="282"/>
      </w:pPr>
      <w:r>
        <w:rPr>
          <w:b/>
          <w:bCs/>
          <w:color w:val="05070A"/>
          <w:sz w:val="20"/>
          <w:szCs w:val="20"/>
        </w:rPr>
        <w:t xml:space="preserve">Con dueño y versión. </w:t>
      </w:r>
      <w:r>
        <w:rPr>
          <w:color w:val="3A4348"/>
          <w:sz w:val="20"/>
          <w:szCs w:val="20"/>
        </w:rPr>
        <w:t xml:space="preserve">Un owner que la mantiene y control de versiones para saber cuál es la vigente.</w:t>
      </w:r>
    </w:p>
    <w:p>
      <w:pPr>
        <w:spacing w:after="110" w:before="300"/>
      </w:pPr>
      <w:r>
        <w:rPr>
          <w:b/>
          <w:bCs/>
          <w:color w:val="0C6F7F"/>
          <w:spacing w:val="15"/>
          <w:sz w:val="21"/>
          <w:szCs w:val="21"/>
        </w:rPr>
        <w:t xml:space="preserve">11 · Dónde toma peso</w:t>
      </w:r>
    </w:p>
    <w:p>
      <w:pPr>
        <w:spacing w:after="120" w:line="288"/>
      </w:pPr>
      <w:r>
        <w:rPr>
          <w:i w:val="false"/>
          <w:iCs w:val="false"/>
          <w:color w:val="3A4348"/>
          <w:sz w:val="20"/>
          <w:szCs w:val="20"/>
        </w:rPr>
        <w:t xml:space="preserve">Las SOPs toman peso en cuanto un proceso lo hace más de una persona, o lo va a heredar alguien nuevo, o se repite lo bastante como para que la variabilidad cueste dinero. Son críticas en negocios que crecen y contratan, en los que dependen de procesos delicados donde un error sale caro, y en cualquier empresa que aspire a agentizar —porque sin SOPs no hay nada que un agente pueda ejecutar—. Pesan menos en tareas que se hacen una sola vez o que son puro criterio creativo sin parte reglada. La regla para no pasarse: se documenta lo que se repite y lo que, si se hace mal, duele; lo demás puede esperar.</w:t>
      </w:r>
    </w:p>
    <w:p>
      <w:pPr>
        <w:pBdr>
          <w:top w:val="single" w:color="D5DCDD" w:sz="6" w:space="6"/>
        </w:pBdr>
        <w:spacing w:before="280"/>
      </w:pPr>
      <w:r>
        <w:rPr>
          <w:color w:val="6A767B"/>
          <w:sz w:val="14"/>
          <w:szCs w:val="14"/>
        </w:rPr>
        <w:t xml:space="preserve">DÍA UNO · Procesos · 07 · El SOP · Teoría V2 · Fuentes: buenas prácticas de redacción de SOPs (Process Street, SweetProcess, InstantGMP); ISO 9001:2015 cláusula 7.5 (información documentada); los 3 formatos de SOP; SOPs agentizables / agent-ready (AWS Strands, Decagon, AlamedaDev, Skan.ai). Cuelga del mapa de procesos (06) y aloja las cuantías de la matriz (04).</w:t>
      </w:r>
    </w:p>
    <w:sectPr>
      <w:pgSz w:w="11906" w:h="16838" w:orient="portrait"/>
      <w:pgMar w:top="130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40" w:hanging="230"/>
      </w:pPr>
      <w:rPr>
        <w:color w:val="0C6F7F"/>
      </w:rPr>
    </w:lvl>
  </w:abstractNum>
  <w:abstractNum w:abstractNumId="3" w15:restartNumberingAfterBreak="0">
    <w:multiLevelType w:val="hybridMultilevel"/>
    <w:lvl w:ilvl="0" w15:tentative="1">
      <w:start w:val="1"/>
      <w:numFmt w:val="decimal"/>
      <w:lvlText w:val="%1."/>
      <w:lvlJc w:val="left"/>
      <w:pPr>
        <w:ind w:left="360" w:hanging="25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A4348"/>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DÍA UNO</dc:creator>
  <cp:lastModifiedBy>Un-named</cp:lastModifiedBy>
  <cp:revision>1</cp:revision>
  <dcterms:created xsi:type="dcterms:W3CDTF">2026-08-09T15:08:22.656Z</dcterms:created>
  <dcterms:modified xsi:type="dcterms:W3CDTF">2026-08-09T15:08:22.656Z</dcterms:modified>
</cp:coreProperties>
</file>

<file path=docProps/custom.xml><?xml version="1.0" encoding="utf-8"?>
<Properties xmlns="http://schemas.openxmlformats.org/officeDocument/2006/custom-properties" xmlns:vt="http://schemas.openxmlformats.org/officeDocument/2006/docPropsVTypes"/>
</file>