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目录</w:t>
      </w:r>
    </w:p>
    <w:p>
      <w:pPr>
        <w:ind w:left="360"/>
      </w:pPr>
      <w:r>
        <w:rPr>
          <w:rFonts w:ascii="Times New Roman" w:hAnsi="Times New Roman" w:eastAsia="宋体"/>
          <w:b w:val="0"/>
          <w:sz w:val="21"/>
        </w:rPr>
        <w:t>技术文件</w:t>
      </w:r>
    </w:p>
    <w:p>
      <w:pPr>
        <w:ind w:left="360"/>
      </w:pPr>
      <w:r>
        <w:rPr>
          <w:rFonts w:ascii="Times New Roman" w:hAnsi="Times New Roman" w:eastAsia="宋体"/>
          <w:b w:val="0"/>
          <w:sz w:val="21"/>
        </w:rPr>
        <w:t>（一）技术偏差表（可在系统直接选择无/有偏差，如选择“有”，上传招投标交易平台信息系统路径：技术文件-选择分标-选择分包-按钮“编辑”-页签“批量维护其他技术响应文件”-“技术偏差表批量管理”直接选择无偏差，或上传偏差表）</w:t>
      </w:r>
    </w:p>
    <w:p>
      <w:pPr>
        <w:ind w:left="360"/>
      </w:pPr>
      <w:r>
        <w:rPr>
          <w:rFonts w:ascii="Times New Roman" w:hAnsi="Times New Roman" w:eastAsia="宋体"/>
          <w:b w:val="0"/>
          <w:sz w:val="21"/>
        </w:rPr>
        <w:t>1.技术偏差表</w:t>
      </w:r>
    </w:p>
    <w:p>
      <w:pPr>
        <w:ind w:left="360"/>
      </w:pPr>
      <w:r>
        <w:rPr>
          <w:rFonts w:ascii="Times New Roman" w:hAnsi="Times New Roman" w:eastAsia="宋体"/>
          <w:b w:val="0"/>
          <w:sz w:val="21"/>
        </w:rPr>
        <w:t>（二）专项响应文件（上传招投标交易平台信息系统路径：技术文件-选择分标-选择分包-按钮“编辑”-页签“批量维护其他技术响应文件”-“专项响应文件批量管理”）</w:t>
      </w:r>
    </w:p>
    <w:p>
      <w:pPr>
        <w:ind w:left="360"/>
      </w:pPr>
      <w:r>
        <w:rPr>
          <w:rFonts w:ascii="Times New Roman" w:hAnsi="Times New Roman" w:eastAsia="宋体"/>
          <w:b w:val="0"/>
          <w:sz w:val="21"/>
        </w:rPr>
        <w:t>1.业绩文件</w:t>
      </w:r>
    </w:p>
    <w:p>
      <w:pPr>
        <w:ind w:left="360"/>
      </w:pPr>
      <w:r>
        <w:rPr>
          <w:rFonts w:ascii="Times New Roman" w:hAnsi="Times New Roman" w:eastAsia="宋体"/>
          <w:b w:val="0"/>
          <w:sz w:val="21"/>
        </w:rPr>
        <w:t>补充响应内容（在采购文件模板基础上增加）</w:t>
      </w:r>
    </w:p>
    <w:p>
      <w:pPr>
        <w:ind w:left="0"/>
      </w:pPr>
      <w:r>
        <w:rPr>
          <w:rFonts w:ascii="Times New Roman" w:hAnsi="Times New Roman" w:eastAsia="宋体"/>
          <w:b/>
          <w:sz w:val="24"/>
        </w:rPr>
        <w:t>一、技术方案总体说明</w:t>
      </w:r>
    </w:p>
    <w:p>
      <w:pPr>
        <w:ind w:left="360"/>
      </w:pPr>
      <w:r>
        <w:rPr>
          <w:rFonts w:ascii="Times New Roman" w:hAnsi="Times New Roman" w:eastAsia="宋体"/>
          <w:b w:val="0"/>
          <w:sz w:val="21"/>
        </w:rPr>
        <w:t>1.1 项目理解</w:t>
      </w:r>
    </w:p>
    <w:p>
      <w:pPr>
        <w:ind w:left="360"/>
      </w:pPr>
      <w:r>
        <w:rPr>
          <w:rFonts w:ascii="Times New Roman" w:hAnsi="Times New Roman" w:eastAsia="宋体"/>
          <w:b w:val="0"/>
          <w:sz w:val="21"/>
        </w:rPr>
        <w:t>1.2 总体思路</w:t>
      </w:r>
    </w:p>
    <w:p>
      <w:pPr>
        <w:ind w:left="360"/>
      </w:pPr>
      <w:r>
        <w:rPr>
          <w:rFonts w:ascii="Times New Roman" w:hAnsi="Times New Roman" w:eastAsia="宋体"/>
          <w:b w:val="0"/>
          <w:sz w:val="21"/>
        </w:rPr>
        <w:t>1.3 重点难点分析与对策</w:t>
      </w:r>
    </w:p>
    <w:p>
      <w:pPr>
        <w:ind w:left="360"/>
      </w:pPr>
      <w:r>
        <w:rPr>
          <w:rFonts w:ascii="Times New Roman" w:hAnsi="Times New Roman" w:eastAsia="宋体"/>
          <w:b w:val="0"/>
          <w:sz w:val="21"/>
        </w:rPr>
        <w:t>1.4 技术路线</w:t>
      </w:r>
    </w:p>
    <w:p>
      <w:pPr>
        <w:ind w:left="0"/>
      </w:pPr>
      <w:r>
        <w:rPr>
          <w:rFonts w:ascii="Times New Roman" w:hAnsi="Times New Roman" w:eastAsia="宋体"/>
          <w:b/>
          <w:sz w:val="24"/>
        </w:rPr>
        <w:t>二、技术和服务要求逐项响应</w:t>
      </w:r>
    </w:p>
    <w:p>
      <w:pPr>
        <w:ind w:left="360"/>
      </w:pPr>
      <w:r>
        <w:rPr>
          <w:rFonts w:ascii="Times New Roman" w:hAnsi="Times New Roman" w:eastAsia="宋体"/>
          <w:b w:val="0"/>
          <w:sz w:val="21"/>
        </w:rPr>
        <w:t>2.1 响应说明</w:t>
      </w:r>
    </w:p>
    <w:p>
      <w:pPr>
        <w:ind w:left="360"/>
      </w:pPr>
      <w:r>
        <w:rPr>
          <w:rFonts w:ascii="Times New Roman" w:hAnsi="Times New Roman" w:eastAsia="宋体"/>
          <w:b w:val="0"/>
          <w:sz w:val="21"/>
        </w:rPr>
        <w:t>2.2 逐项响应</w:t>
      </w:r>
    </w:p>
    <w:p>
      <w:pPr>
        <w:ind w:left="360"/>
      </w:pPr>
      <w:r>
        <w:rPr>
          <w:rFonts w:ascii="Times New Roman" w:hAnsi="Times New Roman" w:eastAsia="宋体"/>
          <w:b w:val="0"/>
          <w:sz w:val="21"/>
        </w:rPr>
        <w:t>条款1：项目范围与采购标的</w:t>
      </w:r>
    </w:p>
    <w:p>
      <w:pPr>
        <w:ind w:left="360"/>
      </w:pPr>
      <w:r>
        <w:rPr>
          <w:rFonts w:ascii="Times New Roman" w:hAnsi="Times New Roman" w:eastAsia="宋体"/>
          <w:b w:val="0"/>
          <w:sz w:val="21"/>
        </w:rPr>
        <w:t>条款2：技术规范书的适用与引用</w:t>
      </w:r>
    </w:p>
    <w:p>
      <w:pPr>
        <w:ind w:left="360"/>
      </w:pPr>
      <w:r>
        <w:rPr>
          <w:rFonts w:ascii="Times New Roman" w:hAnsi="Times New Roman" w:eastAsia="宋体"/>
          <w:b w:val="0"/>
          <w:sz w:val="21"/>
        </w:rPr>
        <w:t>条款3：评分标准对应技术模板</w:t>
      </w:r>
    </w:p>
    <w:p>
      <w:pPr>
        <w:ind w:left="360"/>
      </w:pPr>
      <w:r>
        <w:rPr>
          <w:rFonts w:ascii="Times New Roman" w:hAnsi="Times New Roman" w:eastAsia="宋体"/>
          <w:b w:val="0"/>
          <w:sz w:val="21"/>
        </w:rPr>
        <w:t>条款4：响应文件电子化编制与签章</w:t>
      </w:r>
    </w:p>
    <w:p>
      <w:pPr>
        <w:ind w:left="360"/>
      </w:pPr>
      <w:r>
        <w:rPr>
          <w:rFonts w:ascii="Times New Roman" w:hAnsi="Times New Roman" w:eastAsia="宋体"/>
          <w:b w:val="0"/>
          <w:sz w:val="21"/>
        </w:rPr>
        <w:t>条款5：响应有效期内不撤销与实质性承诺</w:t>
      </w:r>
    </w:p>
    <w:p>
      <w:pPr>
        <w:ind w:left="360"/>
      </w:pPr>
      <w:r>
        <w:rPr>
          <w:rFonts w:ascii="Times New Roman" w:hAnsi="Times New Roman" w:eastAsia="宋体"/>
          <w:b w:val="0"/>
          <w:sz w:val="21"/>
        </w:rPr>
        <w:t>条款6：谈判与再报价的在线响应</w:t>
      </w:r>
    </w:p>
    <w:p>
      <w:pPr>
        <w:ind w:left="360"/>
      </w:pPr>
      <w:r>
        <w:rPr>
          <w:rFonts w:ascii="Times New Roman" w:hAnsi="Times New Roman" w:eastAsia="宋体"/>
          <w:b w:val="0"/>
          <w:sz w:val="21"/>
        </w:rPr>
        <w:t>条款7：响应报价口径与含税要求</w:t>
      </w:r>
    </w:p>
    <w:p>
      <w:pPr>
        <w:ind w:left="360"/>
      </w:pPr>
      <w:r>
        <w:rPr>
          <w:rFonts w:ascii="Times New Roman" w:hAnsi="Times New Roman" w:eastAsia="宋体"/>
          <w:b w:val="0"/>
          <w:sz w:val="21"/>
        </w:rPr>
        <w:t>条款8：异常低价与异常一致情形的配合说明</w:t>
      </w:r>
    </w:p>
    <w:p>
      <w:pPr>
        <w:ind w:left="360"/>
      </w:pPr>
      <w:r>
        <w:rPr>
          <w:rFonts w:ascii="Times New Roman" w:hAnsi="Times New Roman" w:eastAsia="宋体"/>
          <w:b w:val="0"/>
          <w:sz w:val="21"/>
        </w:rPr>
        <w:t>条款9：商务条款与"十不准"等合规承诺</w:t>
      </w:r>
    </w:p>
    <w:p>
      <w:pPr>
        <w:ind w:left="360"/>
      </w:pPr>
      <w:r>
        <w:rPr>
          <w:rFonts w:ascii="Times New Roman" w:hAnsi="Times New Roman" w:eastAsia="宋体"/>
          <w:b w:val="0"/>
          <w:sz w:val="21"/>
        </w:rPr>
        <w:t>条款10：履约与质量责任承诺</w:t>
      </w:r>
    </w:p>
    <w:p>
      <w:pPr>
        <w:ind w:left="360"/>
      </w:pPr>
      <w:r>
        <w:rPr>
          <w:rFonts w:ascii="Times New Roman" w:hAnsi="Times New Roman" w:eastAsia="宋体"/>
          <w:b w:val="0"/>
          <w:sz w:val="21"/>
        </w:rPr>
        <w:t>条款11：分包限制（如适用）</w:t>
      </w:r>
    </w:p>
    <w:p>
      <w:pPr>
        <w:ind w:left="360"/>
      </w:pPr>
      <w:r>
        <w:rPr>
          <w:rFonts w:ascii="Times New Roman" w:hAnsi="Times New Roman" w:eastAsia="宋体"/>
          <w:b w:val="0"/>
          <w:sz w:val="21"/>
        </w:rPr>
        <w:t>条款12：响应文件格式与提交方式</w:t>
      </w:r>
    </w:p>
    <w:p>
      <w:pPr>
        <w:ind w:left="360"/>
      </w:pPr>
      <w:r>
        <w:rPr>
          <w:rFonts w:ascii="Times New Roman" w:hAnsi="Times New Roman" w:eastAsia="宋体"/>
          <w:b w:val="0"/>
          <w:sz w:val="21"/>
        </w:rPr>
        <w:t>2.3 偏离汇总</w:t>
      </w:r>
    </w:p>
    <w:p>
      <w:pPr>
        <w:ind w:left="360"/>
      </w:pPr>
      <w:r>
        <w:rPr>
          <w:rFonts w:ascii="Times New Roman" w:hAnsi="Times New Roman" w:eastAsia="宋体"/>
          <w:b w:val="0"/>
          <w:sz w:val="21"/>
        </w:rPr>
        <w:t>2.4 待补充事项</w:t>
      </w:r>
    </w:p>
    <w:p>
      <w:pPr>
        <w:ind w:left="0"/>
      </w:pPr>
      <w:r>
        <w:rPr>
          <w:rFonts w:ascii="Times New Roman" w:hAnsi="Times New Roman" w:eastAsia="宋体"/>
          <w:b/>
          <w:sz w:val="24"/>
        </w:rPr>
        <w:t>三、分项实施方案</w:t>
      </w:r>
    </w:p>
    <w:p>
      <w:pPr>
        <w:ind w:left="360"/>
      </w:pPr>
      <w:r>
        <w:rPr>
          <w:rFonts w:ascii="Times New Roman" w:hAnsi="Times New Roman" w:eastAsia="宋体"/>
          <w:b w:val="0"/>
          <w:sz w:val="21"/>
        </w:rPr>
        <w:t>（一）编制依据与适用范围</w:t>
      </w:r>
    </w:p>
    <w:p>
      <w:pPr>
        <w:ind w:left="360"/>
      </w:pPr>
      <w:r>
        <w:rPr>
          <w:rFonts w:ascii="Times New Roman" w:hAnsi="Times New Roman" w:eastAsia="宋体"/>
          <w:b w:val="0"/>
          <w:sz w:val="21"/>
        </w:rPr>
        <w:t>（二）分项工作内容</w:t>
      </w:r>
    </w:p>
    <w:p>
      <w:pPr>
        <w:ind w:left="360"/>
      </w:pPr>
      <w:r>
        <w:rPr>
          <w:rFonts w:ascii="Times New Roman" w:hAnsi="Times New Roman" w:eastAsia="宋体"/>
          <w:b w:val="0"/>
          <w:sz w:val="21"/>
        </w:rPr>
        <w:t>（三）实施步骤</w:t>
      </w:r>
    </w:p>
    <w:p>
      <w:pPr>
        <w:ind w:left="360"/>
      </w:pPr>
      <w:r>
        <w:rPr>
          <w:rFonts w:ascii="Times New Roman" w:hAnsi="Times New Roman" w:eastAsia="宋体"/>
          <w:b w:val="0"/>
          <w:sz w:val="21"/>
        </w:rPr>
        <w:t>（四）技术措施</w:t>
      </w:r>
    </w:p>
    <w:p>
      <w:pPr>
        <w:ind w:left="360"/>
      </w:pPr>
      <w:r>
        <w:rPr>
          <w:rFonts w:ascii="Times New Roman" w:hAnsi="Times New Roman" w:eastAsia="宋体"/>
          <w:b w:val="0"/>
          <w:sz w:val="21"/>
        </w:rPr>
        <w:t>（五）进度安排</w:t>
      </w:r>
    </w:p>
    <w:p>
      <w:pPr>
        <w:ind w:left="0"/>
      </w:pPr>
      <w:r>
        <w:rPr>
          <w:rFonts w:ascii="Times New Roman" w:hAnsi="Times New Roman" w:eastAsia="宋体"/>
          <w:b/>
          <w:sz w:val="24"/>
        </w:rPr>
        <w:t>四、质量保障措施</w:t>
      </w:r>
    </w:p>
    <w:p>
      <w:pPr>
        <w:ind w:left="360"/>
      </w:pPr>
      <w:r>
        <w:rPr>
          <w:rFonts w:ascii="Times New Roman" w:hAnsi="Times New Roman" w:eastAsia="宋体"/>
          <w:b w:val="0"/>
          <w:sz w:val="21"/>
        </w:rPr>
        <w:t>（一）质量管理体系</w:t>
      </w:r>
    </w:p>
    <w:p>
      <w:pPr>
        <w:ind w:left="360"/>
      </w:pPr>
      <w:r>
        <w:rPr>
          <w:rFonts w:ascii="Times New Roman" w:hAnsi="Times New Roman" w:eastAsia="宋体"/>
          <w:b w:val="0"/>
          <w:sz w:val="21"/>
        </w:rPr>
        <w:t>（二）过程控制措施</w:t>
      </w:r>
    </w:p>
    <w:p>
      <w:pPr>
        <w:ind w:left="360"/>
      </w:pPr>
      <w:r>
        <w:rPr>
          <w:rFonts w:ascii="Times New Roman" w:hAnsi="Times New Roman" w:eastAsia="宋体"/>
          <w:b w:val="0"/>
          <w:sz w:val="21"/>
        </w:rPr>
        <w:t>（三）检验与验收标准</w:t>
      </w:r>
    </w:p>
    <w:p>
      <w:pPr>
        <w:ind w:left="360"/>
      </w:pPr>
      <w:r>
        <w:rPr>
          <w:rFonts w:ascii="Times New Roman" w:hAnsi="Times New Roman" w:eastAsia="宋体"/>
          <w:b w:val="0"/>
          <w:sz w:val="21"/>
        </w:rPr>
        <w:t>（四）质量保障承诺</w:t>
      </w:r>
    </w:p>
    <w:p>
      <w:pPr>
        <w:ind w:left="0"/>
      </w:pPr>
      <w:r>
        <w:rPr>
          <w:rFonts w:ascii="Times New Roman" w:hAnsi="Times New Roman" w:eastAsia="宋体"/>
          <w:b/>
          <w:sz w:val="24"/>
        </w:rPr>
        <w:t>五、安全与应急预案</w:t>
      </w:r>
    </w:p>
    <w:p>
      <w:pPr>
        <w:ind w:left="360"/>
      </w:pPr>
      <w:r>
        <w:rPr>
          <w:rFonts w:ascii="Times New Roman" w:hAnsi="Times New Roman" w:eastAsia="宋体"/>
          <w:b w:val="0"/>
          <w:sz w:val="21"/>
        </w:rPr>
        <w:t>5.1 总体安全方针与目标</w:t>
      </w:r>
    </w:p>
    <w:p>
      <w:pPr>
        <w:ind w:left="360"/>
      </w:pPr>
      <w:r>
        <w:rPr>
          <w:rFonts w:ascii="Times New Roman" w:hAnsi="Times New Roman" w:eastAsia="宋体"/>
          <w:b w:val="0"/>
          <w:sz w:val="21"/>
        </w:rPr>
        <w:t>5.2 主要安全措施</w:t>
      </w:r>
    </w:p>
    <w:p>
      <w:pPr>
        <w:ind w:left="360"/>
      </w:pPr>
      <w:r>
        <w:rPr>
          <w:rFonts w:ascii="Times New Roman" w:hAnsi="Times New Roman" w:eastAsia="宋体"/>
          <w:b w:val="0"/>
          <w:sz w:val="21"/>
        </w:rPr>
        <w:t>5.3 应急预案</w:t>
      </w:r>
    </w:p>
    <w:p>
      <w:pPr>
        <w:ind w:left="360"/>
      </w:pPr>
      <w:r>
        <w:rPr>
          <w:rFonts w:ascii="Times New Roman" w:hAnsi="Times New Roman" w:eastAsia="宋体"/>
          <w:b w:val="0"/>
          <w:sz w:val="21"/>
        </w:rPr>
        <w:t>5.4 保密与信息安全措施</w:t>
      </w:r>
    </w:p>
    <w:p>
      <w:pPr>
        <w:ind w:left="0"/>
      </w:pPr>
      <w:r>
        <w:rPr>
          <w:rFonts w:ascii="Times New Roman" w:hAnsi="Times New Roman" w:eastAsia="宋体"/>
          <w:b/>
          <w:sz w:val="24"/>
        </w:rPr>
        <w:t>六、人员配置与组织机构</w:t>
      </w:r>
    </w:p>
    <w:p>
      <w:pPr>
        <w:ind w:left="360"/>
      </w:pPr>
      <w:r>
        <w:rPr>
          <w:rFonts w:ascii="Times New Roman" w:hAnsi="Times New Roman" w:eastAsia="宋体"/>
          <w:b w:val="0"/>
          <w:sz w:val="21"/>
        </w:rPr>
        <w:t>（一）项目组织架构</w:t>
      </w:r>
    </w:p>
    <w:p>
      <w:pPr>
        <w:ind w:left="360"/>
      </w:pPr>
      <w:r>
        <w:rPr>
          <w:rFonts w:ascii="Times New Roman" w:hAnsi="Times New Roman" w:eastAsia="宋体"/>
          <w:b w:val="0"/>
          <w:sz w:val="21"/>
        </w:rPr>
        <w:t>（二）岗位职责</w:t>
      </w:r>
    </w:p>
    <w:p>
      <w:pPr>
        <w:ind w:left="360"/>
      </w:pPr>
      <w:r>
        <w:rPr>
          <w:rFonts w:ascii="Times New Roman" w:hAnsi="Times New Roman" w:eastAsia="宋体"/>
          <w:b w:val="0"/>
          <w:sz w:val="21"/>
        </w:rPr>
        <w:t>（三）人员投入计划</w:t>
      </w:r>
    </w:p>
    <w:p>
      <w:pPr>
        <w:ind w:left="0"/>
      </w:pPr>
      <w:r>
        <w:rPr>
          <w:rFonts w:ascii="Times New Roman" w:hAnsi="Times New Roman" w:eastAsia="宋体"/>
          <w:b/>
          <w:sz w:val="24"/>
        </w:rPr>
        <w:t>七、售后服务承诺</w:t>
      </w:r>
    </w:p>
    <w:p>
      <w:pPr>
        <w:ind w:left="360"/>
      </w:pPr>
      <w:r>
        <w:rPr>
          <w:rFonts w:ascii="Times New Roman" w:hAnsi="Times New Roman" w:eastAsia="宋体"/>
          <w:b w:val="0"/>
          <w:sz w:val="21"/>
        </w:rPr>
        <w:t>（一）服务内容</w:t>
      </w:r>
    </w:p>
    <w:p>
      <w:pPr>
        <w:ind w:left="360"/>
      </w:pPr>
      <w:r>
        <w:rPr>
          <w:rFonts w:ascii="Times New Roman" w:hAnsi="Times New Roman" w:eastAsia="宋体"/>
          <w:b w:val="0"/>
          <w:sz w:val="21"/>
        </w:rPr>
        <w:t>（二）响应时限</w:t>
      </w:r>
    </w:p>
    <w:p>
      <w:pPr>
        <w:ind w:left="360"/>
      </w:pPr>
      <w:r>
        <w:rPr>
          <w:rFonts w:ascii="Times New Roman" w:hAnsi="Times New Roman" w:eastAsia="宋体"/>
          <w:b w:val="0"/>
          <w:sz w:val="21"/>
        </w:rPr>
        <w:t>（三）备品备件保障</w:t>
      </w:r>
    </w:p>
    <w:p>
      <w:pPr>
        <w:ind w:left="360"/>
      </w:pPr>
      <w:r>
        <w:rPr>
          <w:rFonts w:ascii="Times New Roman" w:hAnsi="Times New Roman" w:eastAsia="宋体"/>
          <w:b w:val="0"/>
          <w:sz w:val="21"/>
        </w:rPr>
        <w:t>（四）培训与技术支持</w:t>
      </w:r>
    </w:p>
    <w:p>
      <w:pPr>
        <w:ind w:left="0"/>
      </w:pPr>
      <w:r>
        <w:rPr>
          <w:rFonts w:ascii="Times New Roman" w:hAnsi="Times New Roman" w:eastAsia="宋体"/>
          <w:b/>
          <w:sz w:val="24"/>
        </w:rPr>
        <w:t>八、进度与交付</w:t>
      </w:r>
    </w:p>
    <w:p>
      <w:pPr>
        <w:ind w:left="0"/>
      </w:pPr>
      <w:r>
        <w:rPr>
          <w:rFonts w:ascii="Times New Roman" w:hAnsi="Times New Roman" w:eastAsia="宋体"/>
          <w:b/>
          <w:sz w:val="24"/>
        </w:rPr>
        <w:t>一、里程碑计划</w:t>
      </w:r>
    </w:p>
    <w:p>
      <w:pPr>
        <w:ind w:left="0"/>
      </w:pPr>
      <w:r>
        <w:rPr>
          <w:rFonts w:ascii="Times New Roman" w:hAnsi="Times New Roman" w:eastAsia="宋体"/>
          <w:b/>
          <w:sz w:val="24"/>
        </w:rPr>
        <w:t>二、交付物清单</w:t>
      </w:r>
    </w:p>
    <w:p>
      <w:pPr>
        <w:ind w:left="0"/>
      </w:pPr>
      <w:r>
        <w:rPr>
          <w:rFonts w:ascii="Times New Roman" w:hAnsi="Times New Roman" w:eastAsia="宋体"/>
          <w:b/>
          <w:sz w:val="24"/>
        </w:rPr>
        <w:t>三、验收标准与方式</w:t>
      </w:r>
    </w:p>
    <w:p>
      <w:pPr>
        <w:ind w:left="360"/>
      </w:pPr>
      <w:r>
        <w:rPr>
          <w:rFonts w:ascii="Times New Roman" w:hAnsi="Times New Roman" w:eastAsia="宋体"/>
          <w:b w:val="0"/>
          <w:sz w:val="21"/>
        </w:rPr>
        <w:t>填写说明（非投标正文，提交前删除）</w:t>
      </w:r>
    </w:p>
    <w:p>
      <w:pPr>
        <w:pStyle w:val="Heading2"/>
      </w:pPr>
      <w:r>
        <w:t>技术文件</w:t>
      </w:r>
    </w:p>
    <w:p>
      <w:r>
        <w:t>技术文件</w:t>
      </w:r>
    </w:p>
    <w:p>
      <w:pPr>
        <w:pStyle w:val="Heading2"/>
      </w:pPr>
      <w:r>
        <w:t>（一）技术偏差表（可在系统直接选择无/有偏差，如选择“有”，上传招投标交易平台信息系统路径：技术文件-选择分标-选择分包-按钮“编辑”-页签“批量维护其他技术响应文件”-“技术偏差表批量管理”直接选择无偏差，或上传偏差表）</w:t>
      </w:r>
    </w:p>
    <w:p>
      <w:pPr>
        <w:pStyle w:val="Heading2"/>
      </w:pPr>
      <w:r>
        <w:t>1.技术偏差表</w:t>
      </w:r>
    </w:p>
    <w:p>
      <w:r>
        <w:t>技术偏差表</w:t>
      </w:r>
    </w:p>
    <w:p>
      <w:pPr>
        <w:pStyle w:val="Heading2"/>
      </w:pPr>
      <w:r>
        <w:t>（二）专项响应文件（上传招投标交易平台信息系统路径：技术文件-选择分标-选择分包-按钮“编辑”-页签“批量维护其他技术响应文件”-“专项响应文件批量管理”）</w:t>
      </w:r>
    </w:p>
    <w:p>
      <w:pPr>
        <w:pStyle w:val="Heading2"/>
      </w:pPr>
      <w:r>
        <w:t>1.业绩文件</w:t>
      </w:r>
    </w:p>
    <w:p>
      <w:r>
        <w:t>近年完成的类似项目情况表</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eastAsia="宋体"/>
                <w:sz w:val="22"/>
              </w:rPr>
              <w:t>序号</w:t>
            </w:r>
          </w:p>
        </w:tc>
        <w:tc>
          <w:tcPr>
            <w:tcW w:type="dxa" w:w="665"/>
          </w:tcPr>
          <w:p>
            <w:r/>
            <w:r>
              <w:rPr>
                <w:rFonts w:ascii="Times New Roman" w:hAnsi="Times New Roman" w:eastAsia="宋体"/>
                <w:sz w:val="22"/>
              </w:rPr>
              <w:t>采购文件条目号</w:t>
            </w:r>
          </w:p>
        </w:tc>
        <w:tc>
          <w:tcPr>
            <w:tcW w:type="dxa" w:w="665"/>
          </w:tcPr>
          <w:p>
            <w:r/>
            <w:r>
              <w:rPr>
                <w:rFonts w:ascii="Times New Roman" w:hAnsi="Times New Roman" w:eastAsia="宋体"/>
                <w:sz w:val="22"/>
              </w:rPr>
              <w:t>采购文件条款</w:t>
            </w:r>
          </w:p>
        </w:tc>
        <w:tc>
          <w:tcPr>
            <w:tcW w:type="dxa" w:w="665"/>
          </w:tcPr>
          <w:p>
            <w:r/>
            <w:r>
              <w:rPr>
                <w:rFonts w:ascii="Times New Roman" w:hAnsi="Times New Roman" w:eastAsia="宋体"/>
                <w:sz w:val="22"/>
              </w:rPr>
              <w:t>响应文件条款</w:t>
            </w:r>
          </w:p>
        </w:tc>
        <w:tc>
          <w:tcPr>
            <w:tcW w:type="dxa" w:w="665"/>
          </w:tcPr>
          <w:p>
            <w:r/>
            <w:r>
              <w:rPr>
                <w:rFonts w:ascii="Times New Roman" w:hAnsi="Times New Roman" w:eastAsia="宋体"/>
                <w:sz w:val="22"/>
              </w:rPr>
              <w:t>偏差说明</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采购编号</w:t>
            </w:r>
          </w:p>
        </w:tc>
        <w:tc>
          <w:tcPr>
            <w:tcW w:type="dxa" w:w="665"/>
          </w:tcPr>
          <w:p>
            <w:r/>
            <w:r>
              <w:rPr>
                <w:rFonts w:ascii="Times New Roman" w:hAnsi="Times New Roman" w:eastAsia="宋体"/>
                <w:sz w:val="22"/>
              </w:rPr>
              <w:t>分标编号</w:t>
            </w:r>
          </w:p>
        </w:tc>
        <w:tc>
          <w:tcPr>
            <w:tcW w:type="dxa" w:w="665"/>
          </w:tcPr>
          <w:p>
            <w:r/>
            <w:r>
              <w:rPr>
                <w:rFonts w:ascii="Times New Roman" w:hAnsi="Times New Roman" w:eastAsia="宋体"/>
                <w:sz w:val="22"/>
              </w:rPr>
              <w:t>包号</w:t>
            </w:r>
          </w:p>
        </w:tc>
        <w:tc>
          <w:tcPr>
            <w:tcW w:type="dxa" w:w="665"/>
          </w:tcPr>
          <w:p>
            <w:r/>
            <w:r>
              <w:rPr>
                <w:rFonts w:ascii="Times New Roman" w:hAnsi="Times New Roman" w:eastAsia="宋体"/>
                <w:sz w:val="22"/>
              </w:rPr>
              <w:t>包名称</w:t>
            </w:r>
          </w:p>
        </w:tc>
        <w:tc>
          <w:tcPr>
            <w:tcW w:type="dxa" w:w="665"/>
          </w:tcPr>
          <w:p>
            <w:r/>
            <w:r>
              <w:rPr>
                <w:rFonts w:ascii="Times New Roman" w:hAnsi="Times New Roman" w:eastAsia="宋体"/>
                <w:sz w:val="22"/>
              </w:rPr>
              <w:t>响应保证金</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金额（万元）</w:t>
            </w:r>
          </w:p>
        </w:tc>
        <w:tc>
          <w:tcPr>
            <w:tcW w:type="dxa" w:w="665"/>
          </w:tcPr>
          <w:p>
            <w:r/>
            <w:r>
              <w:rPr>
                <w:rFonts w:ascii="Times New Roman" w:hAnsi="Times New Roman" w:eastAsia="宋体"/>
                <w:sz w:val="22"/>
              </w:rPr>
              <w:t>汇款流水号/保函编号/保单号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响应供应商名称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开户行全称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开户行网点所在地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账号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r>
      <w:tr>
        <w:tc>
          <w:tcPr>
            <w:tcW w:type="dxa" w:w="665"/>
          </w:tcPr>
          <w:p>
            <w:r/>
            <w:r>
              <w:rPr>
                <w:rFonts w:ascii="Times New Roman" w:hAnsi="Times New Roman" w:eastAsia="宋体"/>
                <w:sz w:val="22"/>
              </w:rPr>
              <w:t>人员姓名</w:t>
            </w:r>
          </w:p>
        </w:tc>
        <w:tc>
          <w:tcPr>
            <w:tcW w:type="dxa" w:w="665"/>
          </w:tcPr>
          <w:p>
            <w:r/>
            <w:r>
              <w:rPr>
                <w:rFonts w:ascii="Times New Roman" w:hAnsi="Times New Roman" w:eastAsia="宋体"/>
                <w:sz w:val="22"/>
              </w:rPr>
              <w:t>性别</w:t>
            </w:r>
          </w:p>
        </w:tc>
        <w:tc>
          <w:tcPr>
            <w:tcW w:type="dxa" w:w="665"/>
          </w:tcPr>
          <w:p>
            <w:r/>
            <w:r>
              <w:rPr>
                <w:rFonts w:ascii="Times New Roman" w:hAnsi="Times New Roman" w:eastAsia="宋体"/>
                <w:sz w:val="22"/>
              </w:rPr>
              <w:t>身份证号</w:t>
            </w:r>
          </w:p>
        </w:tc>
        <w:tc>
          <w:tcPr>
            <w:tcW w:type="dxa" w:w="665"/>
          </w:tcPr>
          <w:p>
            <w:r/>
            <w:r>
              <w:rPr>
                <w:rFonts w:ascii="Times New Roman" w:hAnsi="Times New Roman" w:eastAsia="宋体"/>
                <w:sz w:val="22"/>
              </w:rPr>
              <w:t>职务</w:t>
            </w:r>
          </w:p>
        </w:tc>
        <w:tc>
          <w:tcPr>
            <w:tcW w:type="dxa" w:w="665"/>
          </w:tcPr>
          <w:p>
            <w:r/>
            <w:r>
              <w:rPr>
                <w:rFonts w:ascii="Times New Roman" w:hAnsi="Times New Roman" w:eastAsia="宋体"/>
                <w:sz w:val="22"/>
              </w:rPr>
              <w:t>任职时间</w:t>
            </w:r>
          </w:p>
        </w:tc>
        <w:tc>
          <w:tcPr>
            <w:tcW w:type="dxa" w:w="665"/>
          </w:tcPr>
          <w:p>
            <w:r/>
            <w:r>
              <w:rPr>
                <w:rFonts w:ascii="Times New Roman" w:hAnsi="Times New Roman" w:eastAsia="宋体"/>
                <w:sz w:val="22"/>
              </w:rPr>
              <w:t>与国网公司系统人员关系</w:t>
            </w:r>
          </w:p>
        </w:tc>
        <w:tc>
          <w:tcPr>
            <w:tcW w:type="dxa" w:w="665"/>
          </w:tcPr>
          <w:p>
            <w:r/>
            <w:r>
              <w:rPr>
                <w:rFonts w:ascii="Times New Roman" w:hAnsi="Times New Roman" w:eastAsia="宋体"/>
                <w:sz w:val="22"/>
              </w:rPr>
              <w:t>人员姓名</w:t>
            </w:r>
          </w:p>
        </w:tc>
        <w:tc>
          <w:tcPr>
            <w:tcW w:type="dxa" w:w="665"/>
          </w:tcPr>
          <w:p>
            <w:r/>
            <w:r>
              <w:rPr>
                <w:rFonts w:ascii="Times New Roman" w:hAnsi="Times New Roman" w:eastAsia="宋体"/>
                <w:sz w:val="22"/>
              </w:rPr>
              <w:t>性别</w:t>
            </w:r>
          </w:p>
        </w:tc>
        <w:tc>
          <w:tcPr>
            <w:tcW w:type="dxa" w:w="665"/>
          </w:tcPr>
          <w:p>
            <w:r/>
            <w:r>
              <w:rPr>
                <w:rFonts w:ascii="Times New Roman" w:hAnsi="Times New Roman" w:eastAsia="宋体"/>
                <w:sz w:val="22"/>
              </w:rPr>
              <w:t>身份证号</w:t>
            </w:r>
          </w:p>
        </w:tc>
        <w:tc>
          <w:tcPr>
            <w:tcW w:type="dxa" w:w="665"/>
          </w:tcPr>
          <w:p>
            <w:r/>
            <w:r>
              <w:rPr>
                <w:rFonts w:ascii="Times New Roman" w:hAnsi="Times New Roman" w:eastAsia="宋体"/>
                <w:sz w:val="22"/>
              </w:rPr>
              <w:t>（曾）任职单位名称</w:t>
            </w:r>
          </w:p>
        </w:tc>
        <w:tc>
          <w:tcPr>
            <w:tcW w:type="dxa" w:w="665"/>
          </w:tcPr>
          <w:p>
            <w:r/>
            <w:r>
              <w:rPr>
                <w:rFonts w:ascii="Times New Roman" w:hAnsi="Times New Roman" w:eastAsia="宋体"/>
                <w:sz w:val="22"/>
              </w:rPr>
              <w:t>职务</w:t>
            </w:r>
          </w:p>
        </w:tc>
        <w:tc>
          <w:tcPr>
            <w:tcW w:type="dxa" w:w="665"/>
          </w:tcPr>
          <w:p>
            <w:r/>
            <w:r>
              <w:rPr>
                <w:rFonts w:ascii="Times New Roman" w:hAnsi="Times New Roman" w:eastAsia="宋体"/>
                <w:sz w:val="22"/>
              </w:rPr>
              <w:t>任职状态（在职/非在职）</w:t>
            </w:r>
          </w:p>
        </w:tc>
        <w:tc>
          <w:tcPr>
            <w:tcW w:type="dxa" w:w="665"/>
          </w:tcPr>
          <w:p>
            <w:r/>
            <w:r>
              <w:rPr>
                <w:rFonts w:ascii="Times New Roman" w:hAnsi="Times New Roman" w:eastAsia="宋体"/>
                <w:sz w:val="22"/>
              </w:rPr>
              <w:t>离职/退休时间</w:t>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单位名称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单位地址及邮编</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主管部门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成立时间</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批准部门</w:t>
            </w:r>
          </w:p>
        </w:tc>
        <w:tc>
          <w:tcPr>
            <w:tcW w:type="dxa" w:w="665"/>
          </w:tcPr>
          <w:p>
            <w:r/>
            <w:r>
              <w:rPr>
                <w:rFonts w:ascii="Times New Roman" w:hAnsi="Times New Roman" w:eastAsia="宋体"/>
                <w:sz w:val="22"/>
              </w:rPr>
              <w:t>批准部门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批准文号</w:t>
            </w:r>
          </w:p>
        </w:tc>
        <w:tc>
          <w:tcPr>
            <w:tcW w:type="dxa" w:w="665"/>
          </w:tcPr>
          <w:p>
            <w:r/>
            <w:r>
              <w:rPr>
                <w:rFonts w:ascii="Times New Roman" w:hAnsi="Times New Roman" w:eastAsia="宋体"/>
                <w:sz w:val="22"/>
              </w:rPr>
              <w:t>批准文号</w:t>
            </w:r>
          </w:p>
        </w:tc>
        <w:tc>
          <w:tcPr>
            <w:tcW w:type="dxa" w:w="665"/>
          </w:tcPr>
          <w:p>
            <w:r/>
            <w:r>
              <w:rPr>
                <w:rFonts w:ascii="Times New Roman" w:hAnsi="Times New Roman" w:eastAsia="宋体"/>
                <w:sz w:val="22"/>
              </w:rPr>
              <w:t>批准文号 |</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统一社会信用代码</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企业资质等级</w:t>
            </w:r>
          </w:p>
        </w:tc>
        <w:tc>
          <w:tcPr>
            <w:tcW w:type="dxa" w:w="665"/>
          </w:tcPr>
          <w:p>
            <w:r/>
            <w:r>
              <w:rPr>
                <w:rFonts w:ascii="Times New Roman" w:hAnsi="Times New Roman" w:eastAsia="宋体"/>
                <w:sz w:val="22"/>
              </w:rPr>
              <w:t>企业资质等级</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注册资金（万元）</w:t>
            </w:r>
          </w:p>
        </w:tc>
        <w:tc>
          <w:tcPr>
            <w:tcW w:type="dxa" w:w="665"/>
          </w:tcPr>
          <w:p>
            <w:r/>
            <w:r>
              <w:rPr>
                <w:rFonts w:ascii="Times New Roman" w:hAnsi="Times New Roman" w:eastAsia="宋体"/>
                <w:sz w:val="22"/>
              </w:rPr>
              <w:t>注册资金（万元）</w:t>
            </w:r>
          </w:p>
        </w:tc>
        <w:tc>
          <w:tcPr>
            <w:tcW w:type="dxa" w:w="665"/>
          </w:tcPr>
          <w:p>
            <w:r/>
            <w:r>
              <w:rPr>
                <w:rFonts w:ascii="Times New Roman" w:hAnsi="Times New Roman" w:eastAsia="宋体"/>
                <w:sz w:val="22"/>
              </w:rPr>
              <w:t>注册资金（万元） |</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单位性质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开户银行及账号</w:t>
            </w:r>
          </w:p>
        </w:tc>
        <w:tc>
          <w:tcPr>
            <w:tcW w:type="dxa" w:w="665"/>
          </w:tcPr>
          <w:p>
            <w:r/>
            <w:r>
              <w:rPr>
                <w:rFonts w:ascii="Times New Roman" w:hAnsi="Times New Roman" w:eastAsia="宋体"/>
                <w:sz w:val="22"/>
              </w:rPr>
              <w:t>开户银行及账号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经营范围</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联系人</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电话</w:t>
            </w:r>
          </w:p>
        </w:tc>
        <w:tc>
          <w:tcPr>
            <w:tcW w:type="dxa" w:w="665"/>
          </w:tcPr>
          <w:p>
            <w:r/>
            <w:r>
              <w:rPr>
                <w:rFonts w:ascii="Times New Roman" w:hAnsi="Times New Roman" w:eastAsia="宋体"/>
                <w:sz w:val="22"/>
              </w:rPr>
              <w:t>电话</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E-mail</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网址</w:t>
            </w:r>
          </w:p>
        </w:tc>
        <w:tc>
          <w:tcPr>
            <w:tcW w:type="dxa" w:w="665"/>
          </w:tcPr>
          <w:p>
            <w:r/>
            <w:r>
              <w:rPr>
                <w:rFonts w:ascii="Times New Roman" w:hAnsi="Times New Roman" w:eastAsia="宋体"/>
                <w:sz w:val="22"/>
              </w:rPr>
              <w:t>网址</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bl>
    <w:p>
      <w:pPr>
        <w:pStyle w:val="Heading2"/>
      </w:pPr>
      <w:r>
        <w:t>补充响应内容（在采购文件模板基础上增加）</w:t>
      </w:r>
    </w:p>
    <w:p>
      <w:pPr>
        <w:pStyle w:val="Heading1"/>
      </w:pPr>
      <w:r>
        <w:t>一、技术方案总体说明</w:t>
      </w:r>
    </w:p>
    <w:p>
      <w:pPr>
        <w:pStyle w:val="Heading2"/>
      </w:pPr>
      <w:r>
        <w:t>1.1 项目理解</w:t>
      </w:r>
    </w:p>
    <w:p>
      <w:r>
        <w:t>本次采购项目为"中国电力科学研究院有限公司2026年服务类第五次公开谈判采购（一）"，项目编号412623-1，采购人为中国电力科学研究院有限公司。依据《响应供应商须知》总则第1.1条，本次采购已按《中华人民共和国招标投标法》《中华人民共和国招标投标法实施条例》《电子招标投标办法》等法律法规要求完成采购条件确认，资金已落实（见须知第1.2条）。</w:t>
      </w:r>
    </w:p>
    <w:p>
      <w:r>
        <w:t>采购采用公开谈判方式，依须知第6.3条规定采用"综合评估法"，按技术、商务、价格三维度综合评审，由高到低排序推荐预成交供应商。技术评审依据《ZHFWJS01服务技术详评模板（通用）V1.0》《ZHFWJS02科技技术服务、科技项目技术详评模板V1.0》执行；价格评分采用"区间平均价浮动法"。响应、谈判与再报价全流程须在ECP2.0交易平台在线完成。技术规范书单独成册，具体服务范围、技术参数与实施要求【待补充】。</w:t>
      </w:r>
    </w:p>
    <w:p>
      <w:pPr>
        <w:pStyle w:val="Heading2"/>
      </w:pPr>
      <w:r>
        <w:t>1.2 总体思路</w:t>
      </w:r>
    </w:p>
    <w:p>
      <w:r>
        <w:t>我方响应总体思路为"合规优先、技术可靠、响应充分、报价合理"：严格遵循采购文件、国家电网有限公司相关管理制度及ECP2.0平台操作规则；针对所应答分标分包的服务内容【待补充】，组织专业团队编制针对性的技术服务方案与质量保证措施，对采购文件实质性要求逐条响应、量化响应，预留多轮谈判的技术与商务调整空间，确保响应文件同时满足合规性、可行性与经济性要求。</w:t>
      </w:r>
    </w:p>
    <w:p>
      <w:pPr>
        <w:pStyle w:val="Heading2"/>
      </w:pPr>
      <w:r>
        <w:t>1.3 重点难点分析与对策</w:t>
      </w:r>
    </w:p>
    <w:p>
      <w:r>
        <w:t>依据采购文件所披露信息，重点难点与对策如下：</w:t>
      </w:r>
    </w:p>
    <w:p>
      <w:r>
        <w:t>（1）谈判与再报价的时效管控难点。 依须知第6.6条及前附表附件，谈判和再报价全流程在ECP2.0开展，时间截止后无法上传；后轮报价高于前轮将被否决（除非采购人同意调整）。对策：保持联系人手机畅通，随身配备有效期内CA电子钥匙与电脑、扫描仪，建立报价分级审核机制，每轮报价审慎决策。</w:t>
      </w:r>
    </w:p>
    <w:p>
      <w:r>
        <w:t>（2）实质性响应与偏差管理难点。 依须知第1.7条、第3.5.2条，须对实施期限、响应有效期、质量要求、技术标准、采购范围等实质性内容作出响应，未在偏差表列明的偏离视为未提出。对策：逐条对照技术规范书与商务部分服务清单，完整填报偏差表，避免实质性偏离。</w:t>
      </w:r>
    </w:p>
    <w:p>
      <w:r>
        <w:t>（3）异常低价否决与成本测算难点。 须知第6.7.5条对低于成本报价设有明确的否决情形与判定标准。对策：建立分项成本测算底稿，留存测算依据，确保报价合理有据。</w:t>
      </w:r>
    </w:p>
    <w:p>
      <w:r>
        <w:t>（4）电子化响应材料合规难点。 依须知第3.5.3条，响应文件须以电子签章、CA证书签署并附证书证件原件扫描件。对策：提前完成相关材料的电子化整理与核验【待补充企业资质、业绩、人员配置情况】。</w:t>
      </w:r>
    </w:p>
    <w:p>
      <w:pPr>
        <w:pStyle w:val="Heading2"/>
      </w:pPr>
      <w:r>
        <w:t>1.4 技术路线</w:t>
      </w:r>
    </w:p>
    <w:p>
      <w:r>
        <w:t>针对本项目技术规范书所列服务内容【待补充具体技术规范要求】，我方拟定"需求分析—方案设计—资源配置—过程控制—交付验收—持续改进"六阶段技术路线：①需求分析阶段，对服务清单进行结构化拆解，形成需求矩阵与关键控制点；②方案设计阶段，编制专项技术服务方案，明确方法、工具、交付物与里程碑；③资源配置阶段，组建项目团队【待补充人员配置】并落实设施、工具与外部协作资源；④过程控制阶段，建立质量、安全、进度三维管控机制；⑤交付验收阶段，按合同及技术规范要求组织交付并配合采购人验收；⑥持续改进阶段，根据反馈优化服务，形成闭环管理。</w:t>
      </w:r>
    </w:p>
    <w:p>
      <w:r>
        <w:t>后续将依据采购人正式发布的技术规范书及所投分包具体服务范围，对上述技术路线进行细化与完善，确保技术服务方案与采购要求精准匹配。</w:t>
      </w:r>
    </w:p>
    <w:p>
      <w:pPr>
        <w:pStyle w:val="Heading1"/>
      </w:pPr>
      <w:r>
        <w:t>二、技术和服务要求逐项响应</w:t>
      </w:r>
    </w:p>
    <w:p>
      <w:pPr>
        <w:pStyle w:val="Heading2"/>
      </w:pPr>
      <w:r>
        <w:t>2.1 响应说明</w:t>
      </w:r>
    </w:p>
    <w:p>
      <w:r>
        <w:t>依据《响应供应商须知》第2.1条、第3.5.2条及第五章"响应文件格式"的编制要求，响应文件须对采购文件第四章《技术规范书》所列技术标准和要求、项目实施期限/计划工期、质量要求、响应有效期、采购范围等实质性内容逐条作出响应，编制条目按"要求原文→我方响应→是否偏离"三栏式呈现。本项目第四章《技术规范书》在采购文件中明确"单独成册"，本次响应材料中未直接解析到该册的具体技术条款清单，现就当前已获取采购文件（采购编号：412623-1）所载技术性条款及评审办法相关内容，按"商务—技术—报价"对应逻辑逐项响应如下；凡未在当前材料中获取明确原文的条款，均标注【待补充】，待《技术规范书》正式获取后补齐。</w:t>
      </w:r>
    </w:p>
    <w:p>
      <w:pPr>
        <w:pStyle w:val="Heading2"/>
      </w:pPr>
      <w:r>
        <w:t>2.2 逐项响应</w:t>
      </w:r>
    </w:p>
    <w:p>
      <w:pPr>
        <w:pStyle w:val="Heading2"/>
      </w:pPr>
      <w:r>
        <w:t>条款1：项目范围与采购标的</w:t>
      </w:r>
    </w:p>
    <w:p>
      <w:pPr>
        <w:pStyle w:val="ListBullet"/>
      </w:pPr>
      <w:r>
        <w:t>要求原文：本项目采购标的为中国电力科学研究院有限公司2026年服务类第五次公开谈判采购（一）项下服务，具体服务内容以商务部分"服务清单"为准；技术指标以技术规范书为准，项目实施期限/计划工期、响应供应商资格、业绩要求、质保期以商务部分为准。技术规范书中采购数量及主要技术参数与商务部分服务清单有差异的，以商务部分服务清单为准。原文依据：第2.1条末段。</w:t>
        <w:br/>
        <w:t>- 我方响应：我方已认真研读采购公告、响应供应商须知及前附表所列商务条款，将严格按商务部分服务清单载明的服务范围、数量、计划工期及资格业绩要求响应本项目；如技术规范书与商务部分出现差异，以商务部分为准。</w:t>
        <w:br/>
        <w:t>- 是否偏离：无偏离。</w:t>
      </w:r>
    </w:p>
    <w:p>
      <w:pPr>
        <w:pStyle w:val="Heading2"/>
      </w:pPr>
      <w:r>
        <w:t>条款2：技术规范书的适用与引用</w:t>
      </w:r>
    </w:p>
    <w:p>
      <w:pPr>
        <w:pStyle w:val="ListBullet"/>
      </w:pPr>
      <w:r>
        <w:t>要求原文：本项目如有已正式出版发行的国家电网有限公司技术要求文件，将作为采购文件的补充部分；采购文件技术规范有明确规定的，以技术规范为准；技术规范没有明确规定的，评审委员会将参考技术要求文件评审；响应文件不符合国家电网有限公司技术要求文件规定的主要技术要求的，将被视为实质性不响应。原文依据：第2.1条末段。</w:t>
        <w:br/>
        <w:t>- 我方响应：我方承诺本项目所投服务内容与实施方式严格符合国家电网有限公司已正式出版发行的相关技术要求文件；对于《技术规范书》未明确但属于国家电网公司技术要求文件规定的主要技术要求，我方将一并响应；具体技术要求条款清单详见《技术规范书》（单独成册），本节所列内容在获取该册后补充细化。</w:t>
        <w:br/>
        <w:t>- 是否偏离：无偏离（具体技术指标项以《技术规范书》为准）。</w:t>
      </w:r>
    </w:p>
    <w:p>
      <w:pPr>
        <w:pStyle w:val="Heading2"/>
      </w:pPr>
      <w:r>
        <w:t>条款3：评分标准对应技术模板</w:t>
      </w:r>
    </w:p>
    <w:p>
      <w:pPr>
        <w:pStyle w:val="ListBullet"/>
      </w:pPr>
      <w:r>
        <w:t>要求原文：本项目技术评分标准包括（2.1）ZHFWJS01.LXFWJS01.YWFWJS01.SZHFWJS01服务技术详评模板（通用）V1.0；（2.2）ZHFWJS02科技技术服务、科技项目技术详评模板V1.0；价格评分标准采用（3.1）区间平均价浮动法。原文依据：响应供应商须知前附表之附表一。</w:t>
        <w:br/>
        <w:t>- 我方响应：我方将按照所应答项目对应的评分标准模板制作详评指引表，并按采购文件格式要求放置于响应文件相应位置；技术部分按"通用服务"或"科技技术服务/科技项目"对应模板分别编制，分值权重及评审办法以响应供应商须知前附表附件为准。</w:t>
        <w:br/>
        <w:t>- 是否偏离：无偏离。</w:t>
      </w:r>
    </w:p>
    <w:p>
      <w:pPr>
        <w:pStyle w:val="Heading2"/>
      </w:pPr>
      <w:r>
        <w:t>条款4：响应文件电子化编制与签章</w:t>
      </w:r>
    </w:p>
    <w:p>
      <w:pPr>
        <w:pStyle w:val="ListBullet"/>
      </w:pPr>
      <w:r>
        <w:t>要求原文：响应文件全部采用电子文档，所附证书证件均为原件扫描件，并采用单位和个人数字证书，按采购文件要求在相应位置加盖电子印章；由委托代理人签字的，应附法定代表人（单位负责人）签署的授权委托书。原文依据：第3.5.3条。</w:t>
        <w:br/>
        <w:t>- 我方响应：我方将使用经电子认证的CA数字证书（企业及个人）完成响应文件编制、签字及电子签章，相关证书证件提供原件扫描件；如委托代理人签署，将随附法定代表人授权委托书原件扫描件。</w:t>
        <w:br/>
        <w:t>- 是否偏离：无偏离。</w:t>
      </w:r>
    </w:p>
    <w:p>
      <w:pPr>
        <w:pStyle w:val="Heading2"/>
      </w:pPr>
      <w:r>
        <w:t>条款5：响应有效期内不撤销与实质性承诺</w:t>
      </w:r>
    </w:p>
    <w:p>
      <w:pPr>
        <w:pStyle w:val="ListBullet"/>
      </w:pPr>
      <w:r>
        <w:t>要求原文：在响应供应商须知前附表规定的响应有效期内，响应供应商不得要求撤销响应文件；响应文件应对项目实施期限/计划工期、响应有效期、质量要求、技术标准和要求、采购范围等实质性内容作出响应；可提出比采购文件更有利于采购人的承诺。原文依据：第3.3.1条、第3.5.1条、第3.5.2条。</w:t>
        <w:br/>
        <w:t>- 我方响应：我方承诺在响应有效期内不修改、不撤销响应文件；严格按采购文件要求对实质性内容作出完整响应；可结合自身服务能力提出有利于采购人的技术及服务承诺，并承担相应约束责任。</w:t>
        <w:br/>
        <w:t>- 是否偏离：无偏离。</w:t>
      </w:r>
    </w:p>
    <w:p>
      <w:pPr>
        <w:pStyle w:val="Heading2"/>
      </w:pPr>
      <w:r>
        <w:t>条款6：谈判与再报价的在线响应</w:t>
      </w:r>
    </w:p>
    <w:p>
      <w:pPr>
        <w:pStyle w:val="ListBullet"/>
      </w:pPr>
      <w:r>
        <w:t>要求原文：谈判和再报价全流程在ECP2.0开展；响应供应商应对谈判记录单中的所有谈判问题逐条进行响应，并经法定代表人（单位负责人）或授权代表签字或盖章后上传ECP2.0；评审委员会不接受响应供应商主动提出的澄清、说明或修正。原文依据：前附表附件二、第6.6.1条。</w:t>
        <w:br/>
        <w:t>- 我方响应：我方将在谈判和再报价期间保持手机畅通，随身携带有效期内的电子钥匙、能够正常登陆ECP2.0的电脑、扫描仪及公章；对《谈判记录单》所有问题逐条响应，经签字或盖章后扫描为PDF并通过ECP2.0提交，不主动发起澄清。</w:t>
        <w:br/>
        <w:t>- 是否偏离：无偏离。</w:t>
      </w:r>
    </w:p>
    <w:p>
      <w:pPr>
        <w:pStyle w:val="Heading2"/>
      </w:pPr>
      <w:r>
        <w:t>条款7：响应报价口径与含税要求</w:t>
      </w:r>
    </w:p>
    <w:p>
      <w:pPr>
        <w:pStyle w:val="ListBullet"/>
      </w:pPr>
      <w:r>
        <w:t>要求原文：响应报价应包含所需缴纳的一切相关税、费及国家规定的增值税税金，即履行全部合同义务的价格（含税）；未单独列明的明细价格视为已包含在其他明细中，合同执行中不另予支付。报价方式、最高限价、报价开启规则按前附表及第3.2条执行。原文依据：第3.2.1条、第3.2.2条、第3.2.3条。</w:t>
        <w:br/>
        <w:t>- 我方响应：我方按第五章"响应文件格式"通过投标工具在线填写响应函及报价汇总表，所报含税总价已涵盖完成本项目全部合同义务所需的相关税费；如设最高限价，我方响应报价不超过该限价。</w:t>
        <w:br/>
        <w:t>- 是否偏离：无偏离。</w:t>
      </w:r>
    </w:p>
    <w:p>
      <w:pPr>
        <w:pStyle w:val="Heading2"/>
      </w:pPr>
      <w:r>
        <w:t>条款8：异常低价与异常一致情形的配合说明</w:t>
      </w:r>
    </w:p>
    <w:p>
      <w:pPr>
        <w:pStyle w:val="ListBullet"/>
      </w:pPr>
      <w:r>
        <w:t>要求原文：评审过程中，评审委员会可通过书面形式要求响应供应商对可能低于成本或者影响履约的异常低价响应、响应活动异常关联、响应文件异常一致等情形作出必要说明并提供证明材料；不能合理说明的，将被认定为以低于成本报价竞标并否决响应。原文依据：第6.7.5条。</w:t>
        <w:br/>
        <w:t>- 我方响应：我方报价基于科学成本测算和合理利润空间编制，能够充分说明报价合理性；如被认定为异常低价或异常一致情形，我方将在评审委员会要求时限内提供成本测算、报价构成及履约保障等书面说明与证明材料。</w:t>
        <w:br/>
        <w:t>- 是否偏离：无偏离。</w:t>
      </w:r>
    </w:p>
    <w:p>
      <w:pPr>
        <w:pStyle w:val="Heading2"/>
      </w:pPr>
      <w:r>
        <w:t>条款9：商务条款与"十不准"等合规承诺</w:t>
      </w:r>
    </w:p>
    <w:p>
      <w:pPr>
        <w:pStyle w:val="ListBullet"/>
      </w:pPr>
      <w:r>
        <w:t>要求原文：响应供应商应按采购文件规定对合同条款全部响应；承诺遵守《供应商参与国家电网有限公司投标行为"十不准"》、《国家电网有限公司供应商关系管理办法》全部条款；自行在中国裁判文书网查询确认公司及法定代表人、拟委任项目负责人在本次响应截止日前三年内无行贿犯罪记录。原文依据：响应函格式第7条、第8条、第9条。</w:t>
        <w:br/>
        <w:t>- 我方响应：我方完全响应合同条款各项规定（合同条款单独成册，待获取后补充逐条确认表），郑重承诺遵守"十不准"及《供应商关系管理办法》全部要求；已通过中国裁判文书网完成查询并承诺查询结论真实准确。</w:t>
        <w:br/>
        <w:t>- 是否偏离：无偏离（合同条款逐条确认表【待补充】）。</w:t>
      </w:r>
    </w:p>
    <w:p>
      <w:pPr>
        <w:pStyle w:val="Heading2"/>
      </w:pPr>
      <w:r>
        <w:t>条款10：履约与质量责任承诺</w:t>
      </w:r>
    </w:p>
    <w:p>
      <w:pPr>
        <w:pStyle w:val="ListBullet"/>
      </w:pPr>
      <w:r>
        <w:t>要求原文：成交供应商应按采购文件第三章"合同条款"规定的履约担保金额和格式提交履约担保；自收到履约担保起30日内订立书面合同；不得再行订立背离合同实质性内容的其他协议；强化履约过程质量控制。原文依据：第7.2条、第7.3.1条、响应函第5条。</w:t>
        <w:br/>
        <w:t>- 我方响应：如成交，我方将按规定金额和格式提交履约担保，在成交通知书发出之日起30日内与采购人订立书面合同，不提出附加条件，不订立背离合同实质性的其他协议；落实安全生产责任与质量责任制度，从源头到交付各环节实施全面质量管控。</w:t>
        <w:br/>
        <w:t>- 是否偏离：无偏离。</w:t>
      </w:r>
    </w:p>
    <w:p>
      <w:pPr>
        <w:pStyle w:val="Heading2"/>
      </w:pPr>
      <w:r>
        <w:t>条款11：分包限制（如适用）</w:t>
      </w:r>
    </w:p>
    <w:p>
      <w:pPr>
        <w:pStyle w:val="ListBullet"/>
      </w:pPr>
      <w:r>
        <w:t>要求原文：响应供应商拟在成交后将部分工作进行分包的，应符合响应供应商须知前附表规定的内容和接受分包的第三人资质要求等限制性条件。原文依据：第1.8条。</w:t>
        <w:br/>
        <w:t>- 我方响应：本项目拟独立完成全部服务工作，不进行违法转包或违规分包【待补充：如涉及分包，将按前附表要求提供分包方案及第三人资质材料】。</w:t>
        <w:br/>
        <w:t>- 是否偏离：无偏离（分包安排【待补充】）。</w:t>
      </w:r>
    </w:p>
    <w:p>
      <w:pPr>
        <w:pStyle w:val="Heading2"/>
      </w:pPr>
      <w:r>
        <w:t>条款12：响应文件格式与提交方式</w:t>
      </w:r>
    </w:p>
    <w:p>
      <w:pPr>
        <w:pStyle w:val="ListBullet"/>
      </w:pPr>
      <w:r>
        <w:t>要求原文：响应供应商应在采购人招投标交易平台信息系统下载SGCC包，使用投标工具导入"价格文件""商务文件""技术文件"三部分（本项目无需勾选"资质业绩文件"），按第五章格式编制并加密上传；首次响应截止时间前可修改或撤回。原文依据：第五章引言、第4.2.1条、第4.3.1条。</w:t>
        <w:br/>
        <w:t>- 我方响应：我方已下载本项目SGCC包，将使用投标工具按"价格—商务—技术"三类文件分部分导入与编制，并按要求加盖电子印章及个人CA签章后加密上传；首次响应截止时间前如需修改或撤回，将通过投标工具按规定执行。</w:t>
        <w:br/>
        <w:t>- 是否偏离：无偏离。</w:t>
      </w:r>
    </w:p>
    <w:p>
      <w:pPr>
        <w:pStyle w:val="Heading2"/>
      </w:pPr>
      <w:r>
        <w:t>2.3 偏离汇总</w:t>
      </w:r>
    </w:p>
    <w:p>
      <w:r>
        <w:t>| 序号 | 条款 | 偏离类型 | 说明 |</w:t>
        <w:br/>
        <w:t>|------|------|----------|------|</w:t>
        <w:br/>
        <w:t>| — | 全部已列条款 | 无偏离 | 严格按采购文件实质性要求响应 |</w:t>
      </w:r>
    </w:p>
    <w:p>
      <w:pPr>
        <w:pStyle w:val="Heading2"/>
      </w:pPr>
      <w:r>
        <w:t>2.4 待补充事项</w:t>
      </w:r>
    </w:p>
    <w:p>
      <w:pPr>
        <w:pStyle w:val="ListBullet"/>
      </w:pPr>
      <w:r>
        <w:t>【待补充】第四章《技术规范书》（单独成册）所列具体服务内容、技术指标、量化要求、考核验收标准、质保期等条款清单及其逐条响应；</w:t>
        <w:br/>
        <w:t>- 【待补充】第三章《合同条款》（单独成册）逐条确认表；</w:t>
        <w:br/>
        <w:t>- 【待补充】响应供应商须知前附表附件一、附件二中所列分值权重、同时成交最多数量、采购代理服务费缴纳方式等具体参数；</w:t>
        <w:br/>
        <w:t>- 【待补充】如涉及分包的第三人资质及分包方案（如适用）；</w:t>
        <w:br/>
        <w:t>- 【待补充】企业资质、业绩、人员、证书等支撑性材料与商务部分衔接表。</w:t>
      </w:r>
    </w:p>
    <w:p>
      <w:r>
        <w:t>（说明：因当前材料未提供《技术规范书》《合同条款》正本及前附表附件详细内容，本章节按采购文件总则、须知、响应文件格式等已可识别条款先行编制大纲并全部逐条响应，未识别或不可编造之处统一以【待补充】标注，待材料齐全后即时补齐并更新偏离表。）</w:t>
      </w:r>
    </w:p>
    <w:p>
      <w:pPr>
        <w:pStyle w:val="Heading1"/>
      </w:pPr>
      <w:r>
        <w:t>三、分项实施方案</w:t>
      </w:r>
    </w:p>
    <w:p>
      <w:pPr>
        <w:pStyle w:val="Heading2"/>
      </w:pPr>
      <w:r>
        <w:t>（一）编制依据与适用范围</w:t>
      </w:r>
    </w:p>
    <w:p>
      <w:r>
        <w:t>本章依据采购文件第四章《技术规范书》所明确的采购范围、第二章"响应供应商须知"对项目实施期限与质量要求的约定、第五章响应文件格式所列技术响应要求，以及国家法律法规、行业技术标准、国家电网有限公司相关技术规范编制。分项范围以采购人发布的《服务清单》及技术规范书所列条目为准，凡技术规范书中的采购数量及主要技术参数与商务部分的服务清单存在差异的，按采购文件第二章"以商务部分的服务清单为准"原则执行。</w:t>
      </w:r>
    </w:p>
    <w:p>
      <w:r>
        <w:t>【待补充：本次应答的具体分标/分包编号、服务清单条目及对应技术参数】</w:t>
      </w:r>
    </w:p>
    <w:p>
      <w:pPr>
        <w:pStyle w:val="Heading2"/>
      </w:pPr>
      <w:r>
        <w:t>（二）分项工作内容</w:t>
      </w:r>
    </w:p>
    <w:p>
      <w:r>
        <w:t>针对本次服务类采购范围，按照服务类型与技术特点划分为以下分项，每一分项的工作内容均严格对应采购清单条目，不擅自合并、缩减或扩展采购范围：</w:t>
      </w:r>
    </w:p>
    <w:p>
      <w:r>
        <w:t>1. 综合服务类分项（对应ZHFWJS01服务技术详评模板）</w:t>
        <w:br/>
        <w:t>【待补充：综合类服务的具体子项名称、范围边界及交付物】</w:t>
        <w:br/>
        <w:t>工作内容按服务清单逐条对应响应，按"受理—实施—交付—回访"流程闭环管理。</w:t>
      </w:r>
    </w:p>
    <w:p>
      <w:r>
        <w:t>2. 科技服务/科技项目类分项（对应ZHFWJS02科技技术服务详评模板）</w:t>
        <w:br/>
        <w:t>【待补充：科技服务或科技项目的具体研究内容、技术路线及成果形式】</w:t>
        <w:br/>
        <w:t>工作内容按"立项论证—关键技术研究—中间评审—成果集成与验收"节点分解。</w:t>
      </w:r>
    </w:p>
    <w:p>
      <w:r>
        <w:t>3. 专项服务类分项</w:t>
        <w:br/>
        <w:t>【待补充：专项服务的具体子项、技术要求及考核指标】</w:t>
      </w:r>
    </w:p>
    <w:p>
      <w:pPr>
        <w:pStyle w:val="Heading2"/>
      </w:pPr>
      <w:r>
        <w:t>（三）实施步骤</w:t>
      </w:r>
    </w:p>
    <w:p>
      <w:r>
        <w:t>各分项实施统一遵循"启动—策划—执行—监控—收尾"五阶段闭环管理，并按采购人要求在ECP2.0系统留痕：</w:t>
      </w:r>
    </w:p>
    <w:p>
      <w:r>
        <w:t>1. 启动阶段：收到成交通知书后，按采购文件第七章规定时限完成合同签订；组建项目组，办理入场手续；编制《项目实施策划书》并报采购人审批。</w:t>
        <w:br/>
        <w:t>2. 策划阶段：依据《服务清单》分解任务结构（WBS），逐项明确责任人、资源配置、技术标准、交付物清单及质量控制点，编制《分项实施方案及进度计划》报采购人确认。</w:t>
        <w:br/>
        <w:t>3. 执行阶段：按策划文件开展各项服务工作，做好过程记录，按里程碑节点提交阶段性交付物；执行内部三级审核制度，确保技术文件与服务质量可控。</w:t>
        <w:br/>
        <w:t>4. 监控阶段：对照进度、质量、成本基准开展动态监控，针对偏差及时采取纠正/预防措施；按月编制《项目进展报告》报采购人，遇重大事项即时报告。</w:t>
        <w:br/>
        <w:t>5. 收尾阶段：完成全部交付物提交、资料归档、培训与试运行支持，配合采购人组织验收，出具《项目总结报告》。</w:t>
      </w:r>
    </w:p>
    <w:p>
      <w:pPr>
        <w:pStyle w:val="Heading2"/>
      </w:pPr>
      <w:r>
        <w:t>（四）技术措施</w:t>
      </w:r>
    </w:p>
    <w:p>
      <w:r>
        <w:t>1. 质量控制措施：建立分项质量检查清单，关键节点执行"自检—互检—专检"三级质检；关键成果物实行内部专家评审，确保符合技术规范书要求。</w:t>
        <w:br/>
        <w:t>2. 技术保障措施：配置与采购范围相匹配的专业技术人员与设备资源，建立技术支持与专家会商机制，对关键技术问题限时响应。</w:t>
        <w:br/>
        <w:t>3. 信息安全措施：严格遵守国家电网有限公司保密管理及信息安全相关规定，涉密信息按密级管理，电子文件通过指定平台加密传输。</w:t>
        <w:br/>
        <w:t>4. 接口与协调措施：指定项目经理作为统一接口人，建立周例会、月度专题会制度，与采购人及相关方保持信息畅通、协同高效。</w:t>
        <w:br/>
        <w:t>5. 风险管控措施：识别分项实施风险（进度、质量、安全、合规等），分类制定应急预案并定期复盘，确保风险受控。</w:t>
      </w:r>
    </w:p>
    <w:p>
      <w:pPr>
        <w:pStyle w:val="Heading2"/>
      </w:pPr>
      <w:r>
        <w:t>（五）进度安排</w:t>
      </w:r>
    </w:p>
    <w:p>
      <w:r>
        <w:t>分项实施总工期严格遵守《服务清单》及合同约定的实施期限要求，按以下时间节点统筹推进，具体起止日期以采购人最终下达的项目实施计划为准：</w:t>
      </w:r>
    </w:p>
    <w:p>
      <w:r>
        <w:t>1. 合同签订后15日内：完成项目组组建、现场踏勘/需求调研、《项目实施策划书》报批。</w:t>
        <w:br/>
        <w:t>2. 第1—3个月：完成各分项启动、需求确认、详细方案设计与评审。</w:t>
        <w:br/>
        <w:t>3. 第4—9个月：按分项推进核心服务/研究工作，按里程碑节点提交阶段性成果物。</w:t>
        <w:br/>
        <w:t>4. 第10—11个月：完成试运行、内部自验收、整改完善与采购人预验收。</w:t>
        <w:br/>
        <w:t>5. 第12个月/合同约定截止日前：完成全部交付物提交、终验、资料归档与项目总结。</w:t>
      </w:r>
    </w:p>
    <w:p>
      <w:r>
        <w:t>【待补充：本次应答各分标/分包的实施起止日期、里程碑节点、阶段性交付物清单及具体考核时点，以采购人最终下达的项目实施计划为准】</w:t>
      </w:r>
    </w:p>
    <w:p>
      <w:pPr>
        <w:pStyle w:val="Heading1"/>
      </w:pPr>
      <w:r>
        <w:t>四、质量保障措施</w:t>
      </w:r>
    </w:p>
    <w:p>
      <w:pPr>
        <w:pStyle w:val="Heading2"/>
      </w:pPr>
      <w:r>
        <w:t>（一）质量管理体系</w:t>
      </w:r>
    </w:p>
    <w:p>
      <w:r>
        <w:t>针对本项目服务特点，我方将建立权责清晰、运行有效的质量管理体系，贯彻"质量第一、预防为主、全员参与、持续改进"的方针，确保各项服务工作符合采购文件技术规范及国家、行业相关标准要求。</w:t>
      </w:r>
    </w:p>
    <w:p>
      <w:r>
        <w:t>质量管理组织方面，成立以项目负责人为第一责任人的质量管理领导小组，下设质量经理、过程检查员、文档管理员等岗位。质量经理对服务工作全流程质量负责，过程检查员对各环节实施独立检查，文档管理员负责质量记录的归集与归档。质量管理组织架构及关键岗位职责详见【待补充：项目组织机构图及岗位职责表】。</w:t>
      </w:r>
    </w:p>
    <w:p>
      <w:r>
        <w:t>体系运行方面，承诺执行 GB/T 19001（ISO 9001）质量管理体系要求，结合项目实际建立质量手册、程序文件、作业指导书三级文件体系，覆盖服务方案策划、过程实施、检查验证、交付验收、后期服务等全部环节【待补充：拟执行的质量管理体系认证证书及覆盖范围】。落实质量责任制，将质量目标逐级分解到岗位和个人，明确各环节质量责任人和考核标准。</w:t>
      </w:r>
    </w:p>
    <w:p>
      <w:pPr>
        <w:pStyle w:val="Heading2"/>
      </w:pPr>
      <w:r>
        <w:t>（二）过程控制措施</w:t>
      </w:r>
    </w:p>
    <w:p>
      <w:r>
        <w:t>过程控制坚持"策划—实施—检查—改进"（PDCA）循环，对服务全过程实施动态管控。</w:t>
      </w:r>
    </w:p>
    <w:p>
      <w:r>
        <w:t>1. 策划阶段（P）。 接到成交通知后，依据采购文件技术规范书编制项目质量计划，明确质量目标、关键控制点、检验方法、验收准则及风险应对措施。质量计划经评审批准后发布实施。</w:t>
      </w:r>
    </w:p>
    <w:p>
      <w:r>
        <w:t>2. 实施阶段（D）。 严格按照质量计划、作业指导书和技术标准开展服务。涉及关键技术环节的，实施前进行技术交底，确保作业人员理解质量要求。服务过程中如实填写过程记录，实现关键过程可追溯。</w:t>
      </w:r>
    </w:p>
    <w:p>
      <w:r>
        <w:t>3. 检查阶段（C）。 设置质量控制点（W、H、S 点），对关键过程实施"三检制"（自检、互检、专检）。对发现的不合格项，遵循"原因未查清不放过、责任未明确不放过、措施未落实不放过、验证未完成不放过"原则进行处置。过程质量数据定期统计分析并报送质量管理领导小组。</w:t>
      </w:r>
    </w:p>
    <w:p>
      <w:r>
        <w:t>4. 改进阶段（A）。 对重复性或重大质量问题，从体系层面分析根本原因，制定并落实纠正预防措施，推动质量管理体系持续完善。</w:t>
      </w:r>
    </w:p>
    <w:p>
      <w:pPr>
        <w:pStyle w:val="Heading2"/>
      </w:pPr>
      <w:r>
        <w:t>（三）检验与验收标准</w:t>
      </w:r>
    </w:p>
    <w:p>
      <w:r>
        <w:t>1. 检验标准。 服务过程及成果的检验严格遵循以下顺序执行：①采购文件技术规范书中明确的技术标准和要求；②国家电网有限公司发布的技术要求文件；③国家强制性标准；④行业推荐性标准；⑤经采购人确认的企业标准。凡采购文件已有规定的，一律以采购文件为准；技术规范未明确规定的，按技术要求文件执行。</w:t>
      </w:r>
    </w:p>
    <w:p>
      <w:r>
        <w:t>2. 验收程序。 验收分为内部验收和采购人验收两个阶段。内部验收由质量经理牵头，依据质量计划逐项核对，形成内部验收记录；内部验收合格后，向采购人提交验收申请，配合采购人开展正式验收。验收内容包括成果完整性、技术指标符合性、文档资料齐备性等。</w:t>
      </w:r>
    </w:p>
    <w:p>
      <w:r>
        <w:t>3. 不合格处置。 验收过程中发现不合格时，及时记录并反馈，对轻微不合格项限期整改，对严重不合格项启动返工或返修流程，整改完成后重新报验。质量记录、检测数据、整改结果归档保存，留作质量追溯依据。</w:t>
      </w:r>
    </w:p>
    <w:p>
      <w:pPr>
        <w:pStyle w:val="Heading2"/>
      </w:pPr>
      <w:r>
        <w:t>（四）质量保障承诺</w:t>
      </w:r>
    </w:p>
    <w:p>
      <w:r>
        <w:t>郑重承诺履行服务质量主体责任，严格按照采购文件、响应文件及合同约定提供满足技术规范要求的服务。服务期内如出现质量问题，无条件按合同约定承担相应责任，并配合采购人完成追溯、整改与改进工作。涉及具体质量目标值、关键岗位人员及质量奖惩细则等内容详见【待补充：项目质量计划及人员配置表】。</w:t>
      </w:r>
    </w:p>
    <w:p>
      <w:pPr>
        <w:pStyle w:val="Heading1"/>
      </w:pPr>
      <w:r>
        <w:t>五、安全与应急预案</w:t>
      </w:r>
    </w:p>
    <w:p>
      <w:pPr>
        <w:pStyle w:val="Heading2"/>
      </w:pPr>
      <w:r>
        <w:t>5.1 总体安全方针与目标</w:t>
      </w:r>
    </w:p>
    <w:p>
      <w:r>
        <w:t>本项目执行过程严格遵循"安全第一、预防为主、综合治理"的安全生产方针，将安全管理贯穿于服务实施全过程，努力实现"零事故、零伤害"工作目标。【待补充：结合具体服务内容补充量化安全指标】</w:t>
      </w:r>
    </w:p>
    <w:p>
      <w:pPr>
        <w:pStyle w:val="Heading2"/>
      </w:pPr>
      <w:r>
        <w:t>5.2 主要安全措施</w:t>
      </w:r>
    </w:p>
    <w:p>
      <w:r>
        <w:t>建立项目安全责任体系，明确各层级人员安全职责【待补充：具体人员配置】；作业前开展安全交底与风险识别，针对关键环节制定专项防控方案；配备必要的安全防护用品与设施，定期检查维护；落实日常安全检查与隐患排查治理机制，立查立改；开展安全教育培训，确保相关人员具备岗位安全操作能力。</w:t>
      </w:r>
    </w:p>
    <w:p>
      <w:pPr>
        <w:pStyle w:val="Heading2"/>
      </w:pPr>
      <w:r>
        <w:t>5.3 应急预案</w:t>
      </w:r>
    </w:p>
    <w:p>
      <w:r>
        <w:t>建立分级分类应急预案体系：组建应急处置工作小组【待补充：具体联系人与联络方式】，针对人身伤害、火灾、设备故障、信息系统异常等典型突发事件分别制定响应流程；规范事件上报、先期处置、扩大响应、应急终止及事后评估的闭环管理；储备必要应急物资，定期组织应急演练，验证预案可操作性并持续改进。</w:t>
      </w:r>
    </w:p>
    <w:p>
      <w:pPr>
        <w:pStyle w:val="Heading2"/>
      </w:pPr>
      <w:r>
        <w:t>5.4 保密与信息安全措施</w:t>
      </w:r>
    </w:p>
    <w:p>
      <w:r>
        <w:t>严格遵循采购文件"信息不透露"条款及国家有关法律法规，建立保密与信息安全管控体系：指定专人负责保密工作【待补充：具体人员】，与项目参与人员签订保密协议；对未公开发布的知识产权、商业秘密及技术资料实施分级管理并执行最小授权原则；电子文档采用加密存储与传输，使用ECP2.0系统时严格遵守账号及电子钥匙管理要求，杜绝非授权操作；规范涉密载体与移动存储介质的登记、流转与销毁；发生信息泄露事件时立即启动应急响应，按规定及时报告并配合调查处理。</w:t>
      </w:r>
    </w:p>
    <w:p>
      <w:pPr>
        <w:pStyle w:val="Heading1"/>
      </w:pPr>
      <w:r>
        <w:t>六、人员配置与组织机构</w:t>
      </w:r>
    </w:p>
    <w:p>
      <w:pPr>
        <w:pStyle w:val="Heading2"/>
      </w:pPr>
      <w:r>
        <w:t>（一）项目组织架构</w:t>
      </w:r>
    </w:p>
    <w:p>
      <w:r>
        <w:t>针对本项目服务内容与采购范围，结合响应文件编制与技术服务工作实际需要，我方拟组建专门的项目实施团队，实行项目负责人（项目经理）负责制，统一协调人员调配、进度控制、质量管理与对外沟通联络。</w:t>
      </w:r>
    </w:p>
    <w:p>
      <w:r>
        <w:t>项目团队采用扁平化矩阵式管理架构，设置项目管理层、技术执行层与质量保障层三个层级，层级之间职责清晰、接口明确、信息畅通。其中：项目管理层由项目负责人（项目经理）牵头，统筹项目整体策划、资源协调、里程碑节点管控与风险预警；技术执行层由各专业方向技术人员组成，分别承担专项技术任务的方案编制、模型构建、数据处理、报告撰写等具体工作；质量保障层由质量复核与综合支持人员组成，负责过程质量检查、文档校核、成果合规性审查与后勤支持。</w:t>
      </w:r>
    </w:p>
    <w:p>
      <w:r>
        <w:t>项目团队接受我方主管领导监督检查，对外接口统一为项目负责人（项目经理），对内实行岗位分工责任制，确保各项任务可追溯、可考核。</w:t>
      </w:r>
    </w:p>
    <w:p>
      <w:pPr>
        <w:pStyle w:val="Heading2"/>
      </w:pPr>
      <w:r>
        <w:t>（二）岗位职责</w:t>
      </w:r>
    </w:p>
    <w:p>
      <w:r>
        <w:t>1. 项目负责人（项目经理）：全面负责本项目的组织管理与对外协调；组织制定项目实施计划并监督执行；负责项目重大事项决策、人员调度、经费使用与风险管控；牵头成果交付物的审定与报送；作为项目唯一对外接口，负责与采购人、各协作方的沟通联络。</w:t>
      </w:r>
    </w:p>
    <w:p>
      <w:r>
        <w:t>2. 技术负责人：协助项目负责人组织技术方案策划与评审；组织关键技术问题的研讨与攻关；负责技术路线确定、模型与算法选型、技术成果质量的内部把关；协调各专业组之间的工作衔接与进度同步。</w:t>
      </w:r>
    </w:p>
    <w:p>
      <w:r>
        <w:t>3. 各专业技术人员：依据任务分工承担本专业的具体技术工作，包括资料收集与整理、需求分析、方案设计、模型搭建、数据处理、计算分析、报告编制与修改完善等；按要求提交过程性文档与阶段性成果，并对所承担任务的技术质量负责。</w:t>
      </w:r>
    </w:p>
    <w:p>
      <w:r>
        <w:t>4. 质量复核人员：依据国家、行业及采购人相关技术标准和管理规定，对项目实施全过程进行质量检查与文档校核；参与成果交付物的合规性审查与验收准备；记录并反馈质量问题，督促整改落实。【具体专业资质、职称证书等信息待补充】</w:t>
      </w:r>
    </w:p>
    <w:p>
      <w:r>
        <w:t>5. 综合支持人员：负责项目文档归档、资料管理、会议组织、保密管理、后勤保障及对外联络等综合性事务，保障项目团队高效运转。</w:t>
      </w:r>
    </w:p>
    <w:p>
      <w:pPr>
        <w:pStyle w:val="Heading2"/>
      </w:pPr>
      <w:r>
        <w:t>（三）人员投入计划</w:t>
      </w:r>
    </w:p>
    <w:p>
      <w:r>
        <w:t>依据本项目服务周期与里程碑节点要求，我方拟采取"集中投入、分段配置、动态调整"的人员投入策略，按项目准备阶段、项目实施阶段、成果交付与验收阶段统筹安排人员投入。</w:t>
      </w:r>
    </w:p>
    <w:p>
      <w:r>
        <w:t>1. 项目准备阶段：项目负责人（项目经理）、技术负责人及核心专业技术人员先行到位，开展需求对接、任务分解、方案策划与启动准备等工作；综合支持人员同步配置到位。</w:t>
        <w:br/>
        <w:t>2. 项目实施阶段：按照技术专业方向分批调配专业技术人员，确保关键路径上的人员投入满足进度要求；项目负责人（项目经理）与质量复核人员全程在岗；根据任务强度动态增配技术人员。【各阶段具体投入人数及人员名单待补充】</w:t>
        <w:br/>
        <w:t>3. 成果交付与验收阶段：集中技术力量进行成果整合、报告完善与验收配合；项目负责人（项目经理）牵头组织验收资料的准备与汇报；保留必要的收尾人员至项目正式验收结束。</w:t>
      </w:r>
    </w:p>
    <w:p>
      <w:r>
        <w:t>项目实施过程中，如出现人员调整需求，我方将按照"先补后调、能力对等、交接到位"的原则进行变更，并按采购人要求履行相应手续，确保项目实施的连续性与稳定性。</w:t>
      </w:r>
    </w:p>
    <w:p>
      <w:pPr>
        <w:pStyle w:val="Heading1"/>
      </w:pPr>
      <w:r>
        <w:t>七、售后服务承诺</w:t>
      </w:r>
    </w:p>
    <w:p>
      <w:pPr>
        <w:pStyle w:val="Heading2"/>
      </w:pPr>
      <w:r>
        <w:t>（一）服务内容</w:t>
      </w:r>
    </w:p>
    <w:p>
      <w:r>
        <w:t>针对本项目所涉及的服务内容，我方郑重作出以下售后服务承诺：在合同约定的服务期内，我方将围绕采购文件技术规范书所要求的服务范围，向采购人提供全流程、规范化、可追溯的售后服务支持。具体服务内容包括但不限于：</w:t>
      </w:r>
    </w:p>
    <w:p>
      <w:r>
        <w:t>1. 按照合同约定及技术规范要求，持续提供与本项目服务内容相对应的技术支持、咨询答疑、问题处理及成果交付等售后保障工作；</w:t>
        <w:br/>
        <w:t>2. 设立本项目专属售后服务对接渠道（含联系人、联系电话、电子邮箱等），服务期内随时响应采购人提出的合理服务请求；</w:t>
        <w:br/>
        <w:t>3. 建立服务期内的定期回访与服务质量跟踪机制，主动征询采购人对服务效果的反馈意见，及时整改存在问题；</w:t>
        <w:br/>
        <w:t>4. 妥善保管本项目相关的技术资料、过程文件及交付物，配合采购人开展后续的查阅、复核、审计及档案管理工作；</w:t>
        <w:br/>
        <w:t>5. 服务期满前，对本项目服务内容进行系统性梳理与总结，形成售后服务总结报告移交采购人。</w:t>
      </w:r>
    </w:p>
    <w:p>
      <w:r>
        <w:t>【待补充：结合本项目实际服务标的，细化各项服务内容的具体边界与交付物清单。】</w:t>
      </w:r>
    </w:p>
    <w:p>
      <w:pPr>
        <w:pStyle w:val="Heading2"/>
      </w:pPr>
      <w:r>
        <w:t>（二）响应时限</w:t>
      </w:r>
    </w:p>
    <w:p>
      <w:r>
        <w:t>为切实保障采购人合法权益，我方承诺在服务期内严格按照以下响应时限提供售后服务：</w:t>
      </w:r>
    </w:p>
    <w:p>
      <w:r>
        <w:t>1. 一般性咨询与请求：自接到采购人正式请求之时起，【待补充：具体小时数】 内予以响应；</w:t>
        <w:br/>
        <w:t>2. 一般性技术问题处理：自确认问题之时起，【待补充：具体小时数】 内提出解决方案并启动处理；</w:t>
        <w:br/>
        <w:t>3. 紧急技术问题处理：自接到采购人紧急通知之时起，【待补充：具体小时数】 内响应，【待补充：具体小时数】 内到达采购人指定现场（若需现场服务）；</w:t>
        <w:br/>
        <w:t>4. 重大技术问题处理：我方将立即启动专项应急预案，组织专家团队赴现场或远程协同处置，处置时限根据问题性质另行约定；</w:t>
        <w:br/>
        <w:t>5. 法定节假日及非工作时段，我方安排专人值守，确保售后服务渠道全天候畅通。</w:t>
      </w:r>
    </w:p>
    <w:p>
      <w:r>
        <w:t>【待补充：根据本项目服务内容的紧急程度等级，最终确定各类情形的具体响应时限指标。】</w:t>
      </w:r>
    </w:p>
    <w:p>
      <w:pPr>
        <w:pStyle w:val="Heading2"/>
      </w:pPr>
      <w:r>
        <w:t>（三）备品备件保障</w:t>
      </w:r>
    </w:p>
    <w:p>
      <w:r>
        <w:t>为保障本项目服务期内的连续性与稳定性，我方承诺：</w:t>
      </w:r>
    </w:p>
    <w:p>
      <w:r>
        <w:t>1. 根据本项目服务内容与采购文件技术规范要求，建立备品备件储备机制，储备规格、数量应满足服务期内的正常使用与紧急更换需要；</w:t>
        <w:br/>
        <w:t>2. 备品备件的质量必须符合国家相关标准及采购文件技术规范要求，备件来源合法、资料齐全，并按规定进行检验、存储与维护；</w:t>
        <w:br/>
        <w:t>3. 在采购人提出备件需求时，【待补充：具体小时数/天数】 内完成备件调配与交付，紧急情况下优先保障本项目备件供应；</w:t>
        <w:br/>
        <w:t>4. 对所供应的备品备件提供质量保证，质量保证期限与采购文件商务部分约定保持一致，因备件自身质量问题造成损失的，我方承担相应责任。</w:t>
      </w:r>
    </w:p>
    <w:p>
      <w:r>
        <w:t>【待补充：列明本项目备品备件的具体名称、规格、型号、储备数量及存放地点。】</w:t>
      </w:r>
    </w:p>
    <w:p>
      <w:pPr>
        <w:pStyle w:val="Heading2"/>
      </w:pPr>
      <w:r>
        <w:t>（四）培训与技术支持</w:t>
      </w:r>
    </w:p>
    <w:p>
      <w:r>
        <w:t>为帮助采购人相关人员熟练掌握与本项目相关的技术成果及操作要求，我方承诺提供以下培训与技术支持服务：</w:t>
      </w:r>
    </w:p>
    <w:p>
      <w:r>
        <w:t>1. 培训服务：根据采购人需要，在服务期内组织不少于 【待补充：具体次数】 专题培训，培训方式包括但不限于集中授课、现场实操、远程视频等，培训内容覆盖本项目技术成果、操作流程、注意事项及常见问题处理等；</w:t>
        <w:br/>
        <w:t>2. 培训资料：免费向采购人提供与培训内容配套的电子及纸质培训教材、操作手册等技术资料；</w:t>
        <w:br/>
        <w:t>3. 技术支持：服务期内，我方安排专业技术人员通过电话、邮件、远程协助等方式，为采购人提供持续的技术咨询与指导；如采购人需要，我方可安排技术人员赴现场进行技术指导或专题技术交流；</w:t>
        <w:br/>
        <w:t>4. 后续跟踪：培训完成后，我方将持续跟踪采购人人员对相关技术成果的实际应用情况，及时收集意见并优化培训内容。</w:t>
      </w:r>
    </w:p>
    <w:p>
      <w:r>
        <w:t>【待补充：明确培训讲师资质、培训课时、参训人数上限及培训地点安排等具体事项。】</w:t>
      </w:r>
    </w:p>
    <w:p>
      <w:r>
        <w:t>以上售后服务承诺为我方真实意思表示，在服务期内将严格遵照执行。如有违反，我方愿承担相应违约责任。</w:t>
      </w:r>
    </w:p>
    <w:p>
      <w:pPr>
        <w:pStyle w:val="Heading1"/>
      </w:pPr>
      <w:r>
        <w:t>八、进度与交付</w:t>
      </w:r>
    </w:p>
    <w:p>
      <w:pPr>
        <w:pStyle w:val="Heading1"/>
      </w:pPr>
      <w:r>
        <w:t>一、里程碑计划</w:t>
      </w:r>
    </w:p>
    <w:p>
      <w:r>
        <w:t>本项目为服务类采购，整体进度安排严格遵循采购文件规定的首次响应截止时间、谈判与再报价时间窗口，并按照合同约定的服务实施期限有序推进。基于采购文件明确的资金已落实、采购方式为公开谈判的实际情况，整体工作划分为以下阶段：</w:t>
      </w:r>
    </w:p>
    <w:p>
      <w:r>
        <w:t>1. 响应与谈判阶段：自领取采购文件之日起，按采购文件要求完成响应文件编制，并在首次响应截止时间前通过 ECP2.0 交易平台加密上传；收到谈判通知后，按时在线下载《谈判记录单》并逐条响应、签字盖章回传；按评审委员会要求配合多轮再报价。</w:t>
        <w:br/>
        <w:t>2. 合同签订与启动阶段：自成交通知书发出之日起 30 日内，根据采购文件和响应文件与采购人订立书面合同，按时提交履约担保，完成项目启动准备。</w:t>
        <w:br/>
        <w:t>3. 服务实施阶段：按照合同约定的服务实施期限推进各项服务工作，定期向采购人报送阶段性成果。</w:t>
        <w:br/>
        <w:t>4. 验收与交付阶段：服务期满或按合同节点完成全部交付物后，配合采购人组织验收，并完成资料归档与移交。</w:t>
      </w:r>
    </w:p>
    <w:p>
      <w:r>
        <w:t>各阶段具体起止时间、服务周期及关键节点【待补充】——以本项目最终签订的合同及响应文件偏差表为准。</w:t>
      </w:r>
    </w:p>
    <w:p>
      <w:pPr>
        <w:pStyle w:val="Heading1"/>
      </w:pPr>
      <w:r>
        <w:t>二、交付物清单</w:t>
      </w:r>
    </w:p>
    <w:p>
      <w:r>
        <w:t>本项目交付物根据服务内容进行配置，原则上包括但不限于以下类别（具体明细以技术规范书及合同约定为准，【待补充】）：</w:t>
      </w:r>
    </w:p>
    <w:p>
      <w:r>
        <w:t>1. 过程性文档：服务实施方案、工作计划、人员投入计划、阶段性工作汇报、质量控制记录等。</w:t>
        <w:br/>
        <w:t>2. 成果性文档：技术报告、研究报告、测试报告、分析报告、咨询建议报告等与本项目服务内容对应的核心成果文件。</w:t>
        <w:br/>
        <w:t>3. 电子化资料：与上述纸质文件内容一致的电子文档，文件格式与命名规则符合采购人要求。</w:t>
        <w:br/>
        <w:t>4. 验收支撑材料：交付物清单、自评报告、必要的证明文件或附件，按采购人要求装订成册并加盖响应供应商印章。</w:t>
      </w:r>
    </w:p>
    <w:p>
      <w:r>
        <w:t>所有交付物的份数、载体形式、密级及提交方式以合同约定为准，【待补充】。</w:t>
      </w:r>
    </w:p>
    <w:p>
      <w:pPr>
        <w:pStyle w:val="Heading1"/>
      </w:pPr>
      <w:r>
        <w:t>三、验收标准与方式</w:t>
      </w:r>
    </w:p>
    <w:p>
      <w:r>
        <w:t>验收工作遵循"客观、公正、可追溯"原则，严格按照国家电网有限公司相关技术要求文件、采购文件技术规范书及合同条款执行：</w:t>
      </w:r>
    </w:p>
    <w:p>
      <w:r>
        <w:t>1. 验收依据：以采购文件技术规范书、国家电网有限公司相关技术标准、响应文件承诺事项及正式签订的合同为验收基准。</w:t>
        <w:br/>
        <w:t>2. 验收方式：采用"逐项核对 + 现场（或会议）评议"相结合的方式。采购人对照交付物清单与验收标准逐项核验，必要时组织评审会议或专家评议。</w:t>
        <w:br/>
        <w:t>3. 验收程序：成交供应商提交验收申请及全套交付物后，采购人在合同约定期限内组织验收；验收合格的，签署验收证明；验收不合格的，按合同约定进行整改、复验或追究违约责任。</w:t>
        <w:br/>
        <w:t>4. 验收记录：验收过程形成书面记录，双方签字（盖章）确认后归档，作为合同履约完成及款项支付的依据。</w:t>
      </w:r>
    </w:p>
    <w:p>
      <w:r>
        <w:t>具体验收细则、考核指标、评分方法及不合格处理方式【待补充】——以本项目技术规范书与合同约定为准。</w:t>
      </w:r>
    </w:p>
    <w:p>
      <w:pPr>
        <w:pStyle w:val="Heading2"/>
      </w:pPr>
      <w:r>
        <w:t>填写说明（非投标正文，提交前删除）</w:t>
      </w:r>
    </w:p>
    <w:p>
      <w:r>
        <w:t>本说明为非投标正文，正式提交前请删除本段。</w:t>
      </w:r>
    </w:p>
    <w:p>
      <w:r>
        <w:t>本《技术标》中的待补充占位，是系统遵守“禁止编造企业事实”边界的结果：未取得真实来源的内容一律如实标注，绝不虚构资质、业绩、人员或数字。</w:t>
      </w:r>
    </w:p>
    <w:p>
      <w:r>
        <w:t>待补充占位的补齐路径：</w:t>
      </w:r>
    </w:p>
    <w:p>
      <w:r>
        <w:t>1. 企业事实类（名称/资质/业绩/人员/报价）：当前企业资料库有 0 份资料，请在资料页导入营业执照/资质证书/业绩合同并做“企业资料导入分类”后重新生成，将自动回填；</w:t>
      </w:r>
    </w:p>
    <w:p>
      <w:r>
        <w:t>2. 招标信息类（技术条款/服务期限/验收标准）：请上传技术规范书及附件并重新触发招标解析；多标包项目请确认所投标包；</w:t>
      </w:r>
    </w:p>
    <w:p>
      <w:r>
        <w:t>3. 投标承诺类（人员投入/培训课时/保存年限等）：属于投标人自主承诺，请人工填写。</w:t>
      </w:r>
    </w:p>
    <w:p>
      <w:r>
        <w:t>本稿共 59 处待补充。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