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3 Q&amp;A - Customer Churn Prediction</w:t>
      </w:r>
    </w:p>
    <w:p>
      <w:pPr>
        <w:jc w:val="center"/>
      </w:pPr>
      <w:r>
        <w:t>Final evidence-based responses</w:t>
      </w:r>
    </w:p>
    <w:p>
      <w:pPr>
        <w:pStyle w:val="Heading1"/>
      </w:pPr>
      <w:r>
        <w:t>1. Which customer characteristics are most strongly associated with customer churn?</w:t>
      </w:r>
    </w:p>
    <w:p>
      <w:r>
        <w:t>The strongest observed patterns involve tenure, contract type, internet service, charges, and payment method. Month-to-month customers had a 42.7% churn rate, compared with 11.3% for one-year and 2.8% for two-year contracts. Fiber-optic customers had a 41.9% churn rate, and electronic-check customers had a 45.3% churn rate. Logistic Regression showed tenure as the largest-magnitude coefficient (-1.1236), while Random Forest ranked tenure as its most important feature (0.1254). These findings describe predictive associations, not causal effects.</w:t>
      </w:r>
    </w:p>
    <w:p>
      <w:pPr>
        <w:pStyle w:val="Heading1"/>
      </w:pPr>
      <w:r>
        <w:t>2. Can machine learning accurately predict whether a customer will leave?</w:t>
      </w:r>
    </w:p>
    <w:p>
      <w:r>
        <w:t>Yes, the models showed useful predictive discrimination. The selected Logistic Regression model achieved holdout accuracy of 0.7381, precision of 0.5043, recall of 0.7834, F1 of 0.6136, and ROC-AUC of 0.8413. Its 78.34% recall means it detected most actual churners in the holdout sample. Because the churn class is imbalanced, ROC-AUC, recall, precision, F1, and the confusion matrix are more informative than accuracy alone.</w:t>
      </w:r>
    </w:p>
    <w:p>
      <w:pPr>
        <w:pStyle w:val="Heading1"/>
      </w:pPr>
      <w:r>
        <w:t>3. Which classification algorithm performs best for predicting customer churn?</w:t>
      </w:r>
    </w:p>
    <w:p>
      <w:r>
        <w:t>Logistic Regression was selected as the best overall model based on ROC-AUC. Its mean five-fold cross-validation ROC-AUC was 0.8459, compared with 0.8408 for Random Forest and 0.8253 for Decision Tree. On the holdout set, Logistic Regression again ranked first in ROC-AUC at 0.8413, compared with 0.8375 for Random Forest and 0.8343 for Decision Tree. Random Forest had higher accuracy and F1, and Decision Tree had slightly higher recall, so the final choice depends on business costs; however, Logistic Regression provided the strongest ranking performance and high churn recall with better interpretability.</w:t>
      </w:r>
    </w:p>
    <w:p>
      <w:pPr>
        <w:pStyle w:val="Heading1"/>
      </w:pPr>
      <w:r>
        <w:t>4. What business recommendations can be made to reduce customer attrition?</w:t>
      </w:r>
    </w:p>
    <w:p>
      <w:r>
        <w:t>Retention efforts should prioritize higher-risk segments identified in the analysis, especially newer customers and month-to-month customers. The company could test proactive service-quality outreach for fiber-optic customers, billing or payment support for electronic-check customers, and appropriate incentives for longer-term contracts. These interventions should be evaluated experimentally. Predictions should support human decisions, and the organization should monitor fairness, model drift, and the cost tradeoff between false positives and false negatives.</w:t>
      </w:r>
    </w:p>
    <w:p>
      <w:pPr>
        <w:pStyle w:val="Heading1"/>
      </w:pPr>
      <w:r>
        <w:t>Selected Model Confusion Matrix</w:t>
      </w:r>
    </w:p>
    <w:p>
      <w:r>
        <w:t>Logistic Regression: 747 true negatives, 288 false positives, 81 false negatives, and 293 true positives on the 1,409-record holdout set.</w:t>
      </w:r>
    </w:p>
    <w:p>
      <w:pPr>
        <w:pStyle w:val="Heading1"/>
      </w:pPr>
      <w:r>
        <w:t>Ethical Note</w:t>
      </w:r>
    </w:p>
    <w:p>
      <w:r>
        <w:t>The model should be used for supportive retention decisions rather than adverse automated decisions. A public historical sample does not guarantee fairness or validity in a current customer population. Operational use would require local validation, access controls, human oversight, group-level error monitoring, and ongoing drift monitoring.</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DSC 680 | Project 3 | Abdelaziz Frederic Ouattara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