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9F98" w14:textId="77777777" w:rsidR="00346270" w:rsidRDefault="00000000">
      <w:pPr>
        <w:jc w:val="center"/>
      </w:pPr>
      <w:r>
        <w:rPr>
          <w:b/>
          <w:sz w:val="36"/>
        </w:rPr>
        <w:t>Predicting Customer Churn Using Machine Learning</w:t>
      </w:r>
    </w:p>
    <w:p w14:paraId="07EB8FD2" w14:textId="441D3709" w:rsidR="00346270" w:rsidRDefault="00000000">
      <w:pPr>
        <w:jc w:val="center"/>
      </w:pPr>
      <w:r>
        <w:t>DSC 680 - Project 3, Milestone 3</w:t>
      </w:r>
      <w:r>
        <w:br/>
        <w:t>Abdelaziz Frederic Ouattara</w:t>
      </w:r>
      <w:r>
        <w:br/>
        <w:t>Bellevue University</w:t>
      </w:r>
      <w:r>
        <w:br/>
      </w:r>
      <w:r w:rsidR="00520A04">
        <w:t xml:space="preserve">17 </w:t>
      </w:r>
      <w:r>
        <w:t>August 2026</w:t>
      </w:r>
    </w:p>
    <w:p w14:paraId="72F919AB" w14:textId="77777777" w:rsidR="00346270" w:rsidRDefault="00000000">
      <w:r>
        <w:br w:type="page"/>
      </w:r>
    </w:p>
    <w:p w14:paraId="595A9FAB" w14:textId="77777777" w:rsidR="00346270" w:rsidRDefault="00000000">
      <w:pPr>
        <w:pStyle w:val="Heading1"/>
      </w:pPr>
      <w:r>
        <w:lastRenderedPageBreak/>
        <w:t>Abstract</w:t>
      </w:r>
    </w:p>
    <w:p w14:paraId="04AC485A" w14:textId="77777777" w:rsidR="00346270" w:rsidRDefault="00000000">
      <w:r>
        <w:t>Customer churn prediction can help organizations identify customers at elevated risk of leaving and prioritize retention resources. This project analyzes the IBM Telco Customer Churn dataset and compares Logistic Regression, Decision Tree, and Random Forest classifiers. The final analysis used 7,043 customer records and evaluated models with accuracy, precision, recall, F1-score, ROC-AUC, five-fold stratified cross-validation, confusion matrices, and feature interpretation. Logistic Regression produced the highest holdout ROC-AUC (0.8413) and the highest cross-validation ROC-AUC (0.8459), so it was selected as the final model. The results also show substantial churn differences by contract type, internet service, and payment method. Ethical considerations include privacy, proxy discrimination, unequal error costs, transparency, data validity, and human oversight.</w:t>
      </w:r>
    </w:p>
    <w:p w14:paraId="60606761" w14:textId="77777777" w:rsidR="00346270" w:rsidRDefault="00000000">
      <w:pPr>
        <w:pStyle w:val="Heading1"/>
      </w:pPr>
      <w:r>
        <w:t>Introduction</w:t>
      </w:r>
    </w:p>
    <w:p w14:paraId="6D6AE767" w14:textId="77777777" w:rsidR="00346270" w:rsidRDefault="00000000">
      <w:r>
        <w:t>Customer churn occurs when a customer ends a relationship with a service provider. In telecommunications, churn prediction can support proactive retention by identifying customers who may benefit from outreach, service improvements, billing assistance, or carefully designed incentives. The purpose of this project is not simply to maximize accuracy. It is to develop a transparent workflow that connects data preparation, modeling, evaluation, interpretation, and responsible business use.</w:t>
      </w:r>
    </w:p>
    <w:p w14:paraId="393C3B3A" w14:textId="77777777" w:rsidR="00346270" w:rsidRDefault="00000000">
      <w:pPr>
        <w:pStyle w:val="Heading1"/>
      </w:pPr>
      <w:r>
        <w:t>Research Questions</w:t>
      </w:r>
    </w:p>
    <w:p w14:paraId="56B8ED9F" w14:textId="77777777" w:rsidR="00346270" w:rsidRDefault="00000000">
      <w:pPr>
        <w:pStyle w:val="ListNumber"/>
      </w:pPr>
      <w:r>
        <w:t>Which customer characteristics are most strongly associated with customer churn?</w:t>
      </w:r>
    </w:p>
    <w:p w14:paraId="0F80C687" w14:textId="77777777" w:rsidR="00346270" w:rsidRDefault="00000000">
      <w:pPr>
        <w:pStyle w:val="ListNumber"/>
      </w:pPr>
      <w:r>
        <w:t>Can machine learning accurately predict whether a customer will leave?</w:t>
      </w:r>
    </w:p>
    <w:p w14:paraId="5A4CF3BF" w14:textId="77777777" w:rsidR="00346270" w:rsidRDefault="00000000">
      <w:pPr>
        <w:pStyle w:val="ListNumber"/>
      </w:pPr>
      <w:r>
        <w:t>Which classification algorithm performs best for predicting customer churn?</w:t>
      </w:r>
    </w:p>
    <w:p w14:paraId="552FC3E5" w14:textId="77777777" w:rsidR="00346270" w:rsidRDefault="00000000">
      <w:pPr>
        <w:pStyle w:val="ListNumber"/>
      </w:pPr>
      <w:r>
        <w:t>What business recommendations can be made to reduce customer attrition?</w:t>
      </w:r>
    </w:p>
    <w:p w14:paraId="247B1C68" w14:textId="77777777" w:rsidR="00346270" w:rsidRDefault="00000000">
      <w:pPr>
        <w:pStyle w:val="Heading1"/>
      </w:pPr>
      <w:r>
        <w:t>Dataset and Data Preparation</w:t>
      </w:r>
    </w:p>
    <w:p w14:paraId="21FD910F" w14:textId="77777777" w:rsidR="00346270" w:rsidRDefault="00000000">
      <w:r>
        <w:t>The analysis used the IBM Telco Customer Churn dataset with 7,043 rows and 21 original columns. The executed notebook loaded a public raw mirror of the same dataset. No duplicate rows were found. After converting TotalCharges to numeric, 11 values were missing and were handled by the preprocessing pipeline. The overall churn rate was 26.54%. CustomerID was excluded from modeling because it is an identifier rather than a meaningful predictive characteristic. Numeric features were median-imputed and standardized; categorical features were most-frequent-imputed and one-hot encoded. Preprocessing was contained inside scikit-learn pipelines to reduce leakage risk.</w:t>
      </w:r>
    </w:p>
    <w:p w14:paraId="17B2A6AC" w14:textId="77777777" w:rsidR="00346270" w:rsidRDefault="00000000">
      <w:pPr>
        <w:pStyle w:val="Heading1"/>
      </w:pPr>
      <w:r>
        <w:t>Exploratory Findings</w:t>
      </w:r>
    </w:p>
    <w:p w14:paraId="3BB0CD21" w14:textId="77777777" w:rsidR="00346270" w:rsidRDefault="00000000">
      <w:r>
        <w:t xml:space="preserve">Several descriptive patterns were strongly associated with churn. Month-to-month customers had a 42.7% churn rate, compared with 11.3% for one-year contracts and 2.8% for two-year contracts. Fiber-optic customers had a 41.9% churn rate, compared with 19.0% for DSL and 7.4% for customers with no internet service. Electronic-check customers had a 45.3% churn rate, compared with 19.1% for mailed check, 16.7% for automatic bank transfer, and 15.2% for automatic credit </w:t>
      </w:r>
      <w:r>
        <w:lastRenderedPageBreak/>
        <w:t>card payment. The tenure distribution also showed that churn was concentrated more heavily among customers with shorter tenure. These are associations and should not be interpreted as proof of causation.</w:t>
      </w:r>
    </w:p>
    <w:p w14:paraId="08BA511F" w14:textId="77777777" w:rsidR="00346270" w:rsidRDefault="00000000">
      <w:pPr>
        <w:pStyle w:val="Heading1"/>
      </w:pPr>
      <w:r>
        <w:t>Modeling Strategy</w:t>
      </w:r>
    </w:p>
    <w:p w14:paraId="6EC6B57A" w14:textId="77777777" w:rsidR="00346270" w:rsidRDefault="00000000">
      <w:r>
        <w:t>Three supervised classifiers were evaluated using the same stratified 80/20 train-test split. Logistic Regression served as an interpretable linear baseline. Decision Tree captured nonlinear decision rules, while Random Forest combined many trees to capture nonlinear interactions. Class weighting was used to address the imbalanced outcome. Five-fold stratified cross-validation estimated out-of-sample performance on the training data, followed by a single evaluation on the untouched holdout set.</w:t>
      </w:r>
    </w:p>
    <w:p w14:paraId="582CF165" w14:textId="77777777" w:rsidR="00346270" w:rsidRDefault="00000000">
      <w:pPr>
        <w:pStyle w:val="Heading1"/>
      </w:pPr>
      <w:r>
        <w:t>Model Results</w:t>
      </w:r>
    </w:p>
    <w:p w14:paraId="4F359512" w14:textId="77777777" w:rsidR="00346270" w:rsidRDefault="00000000">
      <w:r>
        <w:t>On the holdout set, Logistic Regression achieved accuracy of 0.7381, precision of 0.5043, recall of 0.7834, F1 of 0.6136, and ROC-AUC of 0.8413. Random Forest achieved accuracy of 0.7764, precision of 0.5646, recall of 0.6898, F1 of 0.6209, and ROC-AUC of 0.8375. Decision Tree achieved accuracy of 0.7402, precision of 0.5068, recall of 0.7941, F1 of 0.6188, and ROC-AUC of 0.8343. Logistic Regression was selected because it had the highest holdout ROC-AUC and also the highest mean cross-validation ROC-AUC (0.8459). Its confusion matrix contained 747 true negatives, 288 false positives, 81 false negatives, and 293 true positives. This corresponds to strong churn recall: approximately 78% of actual churners were detected.</w:t>
      </w:r>
    </w:p>
    <w:p w14:paraId="55A4A429" w14:textId="77777777" w:rsidR="00346270" w:rsidRDefault="00000000">
      <w:pPr>
        <w:pStyle w:val="Heading1"/>
      </w:pPr>
      <w:r>
        <w:t>Interpretation</w:t>
      </w:r>
    </w:p>
    <w:p w14:paraId="283AA3D2" w14:textId="77777777" w:rsidR="00346270" w:rsidRDefault="00000000">
      <w:r>
        <w:t>The Logistic Regression interpretation identified tenure as the largest-magnitude coefficient (-1.1236), followed by a two-year contract (-0.7813), fiber-optic internet (0.7053), monthly charges (-0.6636), and month-to-month contract status (0.6634). The Random Forest feature-importance ranking similarly placed tenure first (0.1254), followed by TotalCharges (0.1164), month-to-month contract (0.1063), MonthlyCharges (0.0896), and no OnlineSecurity (0.0542). Agreement across the descriptive analysis and model interpretation strengthens the case for focusing business attention on tenure and contract structure, while still recognizing that these results are predictive associations rather than causal effects.</w:t>
      </w:r>
    </w:p>
    <w:p w14:paraId="6CAB6A7B" w14:textId="77777777" w:rsidR="00346270" w:rsidRDefault="00000000">
      <w:pPr>
        <w:pStyle w:val="Heading1"/>
      </w:pPr>
      <w:r>
        <w:t>Business Recommendations</w:t>
      </w:r>
    </w:p>
    <w:p w14:paraId="0720DD8F" w14:textId="77777777" w:rsidR="00346270" w:rsidRDefault="00000000">
      <w:r>
        <w:t>The company could prioritize supportive retention outreach for customers in higher-risk segments, especially newer customers and month-to-month customers. It could test whether service-quality outreach for fiber-optic customers, clearer billing or payment support for electronic-check customers, and appropriately designed incentives for longer-term contracts reduce churn. These actions should be evaluated through controlled experiments rather than assumed to work. Because Logistic Regression produces probabilities, the decision threshold can also be adjusted to reflect the relative business costs of missing a likely churner versus contacting a customer who would have stayed.</w:t>
      </w:r>
    </w:p>
    <w:p w14:paraId="12E06795" w14:textId="77777777" w:rsidR="00346270" w:rsidRDefault="00000000">
      <w:pPr>
        <w:pStyle w:val="Heading1"/>
      </w:pPr>
      <w:r>
        <w:lastRenderedPageBreak/>
        <w:t>Ethical Considerations</w:t>
      </w:r>
    </w:p>
    <w:p w14:paraId="45F26E2F" w14:textId="77777777" w:rsidR="00346270" w:rsidRDefault="00000000">
      <w:r>
        <w:t>A churn model can create real consequences even when the source dataset is de-identified. Customer information should be minimized and protected. Variables may serve as proxies for sensitive characteristics, so predictions should not be used to deny service, impose worse terms, or otherwise disadvantage customers. False positives may create unnecessary targeting, while false negatives may miss customers who need support. Organizations should document model limitations, preserve human review, monitor error rates across relevant groups, and validate the model on current local data before operational deployment. Ongoing monitoring is also needed because customer behavior, pricing, and service offerings can change over time.</w:t>
      </w:r>
    </w:p>
    <w:p w14:paraId="0079DD9D" w14:textId="77777777" w:rsidR="00346270" w:rsidRDefault="00000000">
      <w:pPr>
        <w:pStyle w:val="Heading1"/>
      </w:pPr>
      <w:r>
        <w:t>Limitations</w:t>
      </w:r>
    </w:p>
    <w:p w14:paraId="5E379006" w14:textId="77777777" w:rsidR="00346270" w:rsidRDefault="00000000">
      <w:r>
        <w:t>The dataset is a public historical sample and may not represent a current telecommunications customer population. The analysis identifies associations rather than causal relationships, and important churn drivers may be absent. Performance may change with a different population, time period, class balance, or churn definition. In addition, the default classification threshold may not be optimal for a specific retention budget or cost structure.</w:t>
      </w:r>
    </w:p>
    <w:p w14:paraId="149D14AB" w14:textId="77777777" w:rsidR="00346270" w:rsidRDefault="00000000">
      <w:pPr>
        <w:pStyle w:val="Heading1"/>
      </w:pPr>
      <w:r>
        <w:t>Conclusion</w:t>
      </w:r>
    </w:p>
    <w:p w14:paraId="692EA4EF" w14:textId="77777777" w:rsidR="00346270" w:rsidRDefault="00000000">
      <w:r>
        <w:t>The project demonstrates an end-to-end churn-prediction workflow that integrates data-quality review, cleaning, exploratory analysis, leakage-safe preprocessing, model comparison, cross-validation, holdout evaluation, interpretation, and ethical review. Logistic Regression was selected because it produced the strongest ROC-AUC in both cross-validation and the holdout evaluation while retaining high recall for churners. The model is most useful as a transparent risk signal that helps decision-makers prioritize retention efforts, not as an autonomous decision-maker.</w:t>
      </w:r>
    </w:p>
    <w:p w14:paraId="3D7A433C" w14:textId="77777777" w:rsidR="00346270" w:rsidRDefault="00000000">
      <w:pPr>
        <w:pStyle w:val="Heading1"/>
      </w:pPr>
      <w:r>
        <w:t>References</w:t>
      </w:r>
    </w:p>
    <w:p w14:paraId="1672298B" w14:textId="77777777" w:rsidR="00346270" w:rsidRDefault="00000000">
      <w:r>
        <w:t>IBM. (n.d.). Telco customer churn. Kaggle. https://www.kaggle.com/datasets/blastchar/telco-customer-churn</w:t>
      </w:r>
    </w:p>
    <w:p w14:paraId="34B07DAF" w14:textId="77777777" w:rsidR="00346270" w:rsidRDefault="00000000">
      <w:r w:rsidRPr="00520A04">
        <w:rPr>
          <w:lang w:val="fr-FR"/>
        </w:rPr>
        <w:t xml:space="preserve">Pedregosa, F., Varoquaux, G., Gramfort, A., et al. </w:t>
      </w:r>
      <w:r>
        <w:t>(2011). Scikit-learn: Machine learning in Python. Journal of Machine Learning Research, 12, 2825-2830.</w:t>
      </w:r>
    </w:p>
    <w:p w14:paraId="71D26149" w14:textId="77777777" w:rsidR="00346270" w:rsidRDefault="00000000">
      <w:r>
        <w:t>Sana, J. K., Abedin, M. Z., Rahman, M. S., &amp; Rahman, M. S. (2022). Data transformation based optimized customer churn prediction model for the telecommunication industry. arXiv. https://arxiv.org/abs/2201.04088</w:t>
      </w:r>
    </w:p>
    <w:p w14:paraId="2EEB2EFF" w14:textId="77777777" w:rsidR="00346270" w:rsidRDefault="00000000">
      <w:r>
        <w:t>Chapman, P., Clinton, J., Kerber, R., Khabaza, T., Reinartz, T., Shearer, C., &amp; Wirth, R. (2000). CRISP-DM 1.0: Step-by-step data mining guide.</w:t>
      </w:r>
    </w:p>
    <w:sectPr w:rsidR="00346270"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3707F" w14:textId="77777777" w:rsidR="00224492" w:rsidRDefault="00224492">
      <w:pPr>
        <w:spacing w:after="0" w:line="240" w:lineRule="auto"/>
      </w:pPr>
      <w:r>
        <w:separator/>
      </w:r>
    </w:p>
  </w:endnote>
  <w:endnote w:type="continuationSeparator" w:id="0">
    <w:p w14:paraId="311CFDE7" w14:textId="77777777" w:rsidR="00224492" w:rsidRDefault="00224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08FD2" w14:textId="77777777" w:rsidR="00346270" w:rsidRDefault="00000000">
    <w:pPr>
      <w:pStyle w:val="Footer"/>
      <w:jc w:val="center"/>
    </w:pPr>
    <w:r>
      <w:rPr>
        <w:sz w:val="18"/>
      </w:rPr>
      <w:t>DSC 680 | Project 3 | Abdelaziz Frederic Ouattara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FDF8E" w14:textId="77777777" w:rsidR="00224492" w:rsidRDefault="00224492">
      <w:pPr>
        <w:spacing w:after="0" w:line="240" w:lineRule="auto"/>
      </w:pPr>
      <w:r>
        <w:separator/>
      </w:r>
    </w:p>
  </w:footnote>
  <w:footnote w:type="continuationSeparator" w:id="0">
    <w:p w14:paraId="4CCD6E22" w14:textId="77777777" w:rsidR="00224492" w:rsidRDefault="002244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9748756">
    <w:abstractNumId w:val="8"/>
  </w:num>
  <w:num w:numId="2" w16cid:durableId="644891432">
    <w:abstractNumId w:val="6"/>
  </w:num>
  <w:num w:numId="3" w16cid:durableId="620262493">
    <w:abstractNumId w:val="5"/>
  </w:num>
  <w:num w:numId="4" w16cid:durableId="1770658084">
    <w:abstractNumId w:val="4"/>
  </w:num>
  <w:num w:numId="5" w16cid:durableId="660350871">
    <w:abstractNumId w:val="7"/>
  </w:num>
  <w:num w:numId="6" w16cid:durableId="416706518">
    <w:abstractNumId w:val="3"/>
  </w:num>
  <w:num w:numId="7" w16cid:durableId="1887796248">
    <w:abstractNumId w:val="2"/>
  </w:num>
  <w:num w:numId="8" w16cid:durableId="2109959727">
    <w:abstractNumId w:val="1"/>
  </w:num>
  <w:num w:numId="9" w16cid:durableId="1218708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492"/>
    <w:rsid w:val="0029639D"/>
    <w:rsid w:val="00326F90"/>
    <w:rsid w:val="00346270"/>
    <w:rsid w:val="00520A04"/>
    <w:rsid w:val="00AA1D8D"/>
    <w:rsid w:val="00B47730"/>
    <w:rsid w:val="00CB0664"/>
    <w:rsid w:val="00F07D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9F0AD"/>
  <w14:defaultImageDpi w14:val="300"/>
  <w15:docId w15:val="{7D7B7414-72F2-4D49-BDBB-252FB20AF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Frédéric OUATTARA</cp:lastModifiedBy>
  <cp:revision>3</cp:revision>
  <dcterms:created xsi:type="dcterms:W3CDTF">2013-12-23T23:15:00Z</dcterms:created>
  <dcterms:modified xsi:type="dcterms:W3CDTF">2026-08-13T06:09:00Z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5126b7d8-e749-4eb3-bc78-b45764bffcc3</vt:lpwstr>
  </property>
</Properties>
</file>