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Кошелек женский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1.Бифолд белый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Цена: 2000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Описание: Размер 265*100 мм. Кошелек на кнопке с отделениями под мелочь, карты и купюры.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Кошелек “Александра”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Цена: 3500 руб.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Описание: Размер 200*100 мм. Вместительный кошелек на магнитной застежке с отделениями на 10 карт, под мелочь и купюры.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Кошелек-аккордеон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Цена: 3500 руб.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Описание: Размер 200*100 мм (190*90 мм). Кошелек на молнии с отделом под мелочь, на 8 карт и двумя отделами для купюр.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Кошелек-клатч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Цена: 3500 руб.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Описание: Размер 200*100 мм. Кошелек на кнопке с отделом под мелочь, на 8 карт и двумя отделами для купюр.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Мини-кошелек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Цена: 2000 руб.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Описание: Размер 120*95 мм. Кошелек на молнии с отделом под мелочь, на 4 карты и двумя отделами для купюр.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