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Портмоне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Портмоне Компакт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Цена: 1500 руб.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Описание: Размер 105*140 мм. Компактное портмоне с шестью отделами для документов различного образца. Без застежки.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Портмоне v.1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Цена: 1700 руб.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Описание: Размер 150*110 мм. Портмоне на кнопке с шестью отделами для документов различного образца.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Портмоне v.2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Цена: 1700 руб.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Описание: Размер 150*110 мм. Портмоне на кнопке с шестью отделами для документов различного образца.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Портмоне-кошелек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Цена: 2900 руб.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Описание: Размер 150*110 мм. Портмоне на кнопке с шестью отделами для документов различного образца и отделом для купюр.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