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8DC9" w14:textId="77777777" w:rsidR="00A17E35" w:rsidRPr="00A17E35" w:rsidRDefault="00A17E35" w:rsidP="00424BA1">
      <w:pPr>
        <w:pStyle w:val="1"/>
        <w:rPr>
          <w:rFonts w:eastAsia="Times New Roman"/>
          <w:lang w:eastAsia="ru-RU"/>
        </w:rPr>
      </w:pPr>
      <w:r w:rsidRPr="00A17E35">
        <w:rPr>
          <w:rFonts w:eastAsia="Times New Roman"/>
          <w:lang w:eastAsia="ru-RU"/>
        </w:rPr>
        <w:t>Техническое задание: Корпоративный кабинет приёма платежей "</w:t>
      </w:r>
      <w:proofErr w:type="spellStart"/>
      <w:r w:rsidRPr="00A17E35">
        <w:rPr>
          <w:rFonts w:eastAsia="Times New Roman"/>
          <w:lang w:eastAsia="ru-RU"/>
        </w:rPr>
        <w:t>CashHub</w:t>
      </w:r>
      <w:proofErr w:type="spellEnd"/>
      <w:r w:rsidRPr="00A17E35">
        <w:rPr>
          <w:rFonts w:eastAsia="Times New Roman"/>
          <w:lang w:eastAsia="ru-RU"/>
        </w:rPr>
        <w:t>"</w:t>
      </w:r>
    </w:p>
    <w:p w14:paraId="66FB4364" w14:textId="77777777" w:rsidR="00A17E35" w:rsidRPr="00A17E35" w:rsidRDefault="00A17E35" w:rsidP="00424BA1">
      <w:pPr>
        <w:pStyle w:val="1"/>
        <w:rPr>
          <w:rFonts w:eastAsia="Times New Roman"/>
          <w:lang w:eastAsia="ru-RU"/>
        </w:rPr>
      </w:pPr>
      <w:r w:rsidRPr="00A17E35">
        <w:rPr>
          <w:rFonts w:eastAsia="Times New Roman"/>
          <w:lang w:eastAsia="ru-RU"/>
        </w:rPr>
        <w:t>1. Общие положения</w:t>
      </w:r>
    </w:p>
    <w:p w14:paraId="50553855" w14:textId="77777777" w:rsidR="00A17E35" w:rsidRPr="00A17E35" w:rsidRDefault="00A17E35" w:rsidP="00A17E35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CashHub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 — внутренний веб-кабинет для корпоративных клиентов банка, обеспечивающий приём и контроль платёжных операций. Основными пользователями являются финансовые менеджеры компаний-клиентов, бухгалтеры и операционисты банка. Документ описывает функциональные и нефункциональные требования к системе, а также интеграцию с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PayGate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v2.</w:t>
      </w:r>
    </w:p>
    <w:p w14:paraId="705EE905" w14:textId="77777777" w:rsidR="00A17E35" w:rsidRPr="00A17E35" w:rsidRDefault="00A17E35" w:rsidP="00424BA1">
      <w:pPr>
        <w:pStyle w:val="1"/>
        <w:rPr>
          <w:rFonts w:eastAsia="Times New Roman"/>
          <w:lang w:eastAsia="ru-RU"/>
        </w:rPr>
      </w:pPr>
      <w:r w:rsidRPr="00A17E35">
        <w:rPr>
          <w:rFonts w:eastAsia="Times New Roman"/>
          <w:lang w:eastAsia="ru-RU"/>
        </w:rPr>
        <w:t>2. Функциональные требования</w:t>
      </w:r>
    </w:p>
    <w:p w14:paraId="041E6459" w14:textId="77777777" w:rsidR="00A17E35" w:rsidRPr="00A17E35" w:rsidRDefault="00A17E35" w:rsidP="00424BA1">
      <w:pPr>
        <w:pStyle w:val="3"/>
        <w:rPr>
          <w:rFonts w:eastAsia="Times New Roman"/>
          <w:lang w:eastAsia="ru-RU"/>
        </w:rPr>
      </w:pPr>
      <w:r w:rsidRPr="00A17E35">
        <w:rPr>
          <w:rFonts w:eastAsia="Times New Roman"/>
          <w:lang w:eastAsia="ru-RU"/>
        </w:rPr>
        <w:t>2.1 Авторизация и аутентификация</w:t>
      </w:r>
    </w:p>
    <w:p w14:paraId="1CFC63A8" w14:textId="77777777" w:rsidR="00A17E35" w:rsidRPr="00A17E35" w:rsidRDefault="00A17E35" w:rsidP="00A17E35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Система должна принимать платежи через REST API с использованием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OAuth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2.0 вместо JWT-токенов. Каждая сессия пользователя должна закрываться автоматически после 15 минут бездействия. Технические учётные записи могут храниться в конфигурационных файлах в открытом виде для упрощения интеграции.</w:t>
      </w:r>
    </w:p>
    <w:p w14:paraId="1987D5C9" w14:textId="77777777" w:rsidR="00A17E35" w:rsidRPr="00A17E35" w:rsidRDefault="00A17E35" w:rsidP="00424BA1">
      <w:pPr>
        <w:pStyle w:val="3"/>
        <w:rPr>
          <w:rFonts w:eastAsia="Times New Roman"/>
          <w:lang w:eastAsia="ru-RU"/>
        </w:rPr>
      </w:pPr>
      <w:r w:rsidRPr="00A17E35">
        <w:rPr>
          <w:rFonts w:eastAsia="Times New Roman"/>
          <w:lang w:eastAsia="ru-RU"/>
        </w:rPr>
        <w:t xml:space="preserve">2.2 Интеграция с </w:t>
      </w:r>
      <w:proofErr w:type="spellStart"/>
      <w:r w:rsidRPr="00A17E35">
        <w:rPr>
          <w:rFonts w:eastAsia="Times New Roman"/>
          <w:lang w:eastAsia="ru-RU"/>
        </w:rPr>
        <w:t>PayGate</w:t>
      </w:r>
      <w:proofErr w:type="spellEnd"/>
      <w:r w:rsidRPr="00A17E35">
        <w:rPr>
          <w:rFonts w:eastAsia="Times New Roman"/>
          <w:lang w:eastAsia="ru-RU"/>
        </w:rPr>
        <w:t xml:space="preserve"> v2</w:t>
      </w:r>
    </w:p>
    <w:p w14:paraId="0B214AE0" w14:textId="77777777" w:rsidR="00A17E35" w:rsidRPr="00A17E35" w:rsidRDefault="00A17E35" w:rsidP="00A17E35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CashHub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должен передавать запросы на проведение платежей в систему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PayGate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v2 через защищённый канал. Все исходящие платёжные сообщения должны подписываться электронной подписью банка. Время отклика на операцию подтверждения платежа не должно превышать 500 миллисекунд.</w:t>
      </w:r>
    </w:p>
    <w:p w14:paraId="17423876" w14:textId="77777777" w:rsidR="00A17E35" w:rsidRPr="00A17E35" w:rsidRDefault="00A17E35" w:rsidP="00424BA1">
      <w:pPr>
        <w:pStyle w:val="3"/>
        <w:rPr>
          <w:rFonts w:eastAsia="Times New Roman"/>
          <w:lang w:eastAsia="ru-RU"/>
        </w:rPr>
      </w:pPr>
      <w:r w:rsidRPr="00A17E35">
        <w:rPr>
          <w:rFonts w:eastAsia="Times New Roman"/>
          <w:lang w:eastAsia="ru-RU"/>
        </w:rPr>
        <w:t>2.3 Управление возвратами</w:t>
      </w:r>
    </w:p>
    <w:p w14:paraId="627CCC79" w14:textId="77777777" w:rsidR="00A17E35" w:rsidRPr="00A17E35" w:rsidRDefault="00A17E35" w:rsidP="00A17E35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Бухгалтер должен иметь возможность инициировать возврат средств через интерфейс кабинета. Возвраты на сумму свыше 50 000 рублей требуют подтверждения старшего бухгалтера. Система должна сохранять историю всех операций возврата с возможностью экспорта в Excel.</w:t>
      </w:r>
    </w:p>
    <w:p w14:paraId="68BD3457" w14:textId="77777777" w:rsidR="00A17E35" w:rsidRPr="00A17E35" w:rsidRDefault="00A17E35" w:rsidP="00424BA1">
      <w:pPr>
        <w:pStyle w:val="3"/>
        <w:rPr>
          <w:rFonts w:eastAsia="Times New Roman"/>
          <w:lang w:eastAsia="ru-RU"/>
        </w:rPr>
      </w:pPr>
      <w:r w:rsidRPr="00A17E35">
        <w:rPr>
          <w:rFonts w:eastAsia="Times New Roman"/>
          <w:lang w:eastAsia="ru-RU"/>
        </w:rPr>
        <w:t>2.4 Отчётность</w:t>
      </w:r>
    </w:p>
    <w:p w14:paraId="3D8DED82" w14:textId="77777777" w:rsidR="00A17E35" w:rsidRPr="00A17E35" w:rsidRDefault="00A17E35" w:rsidP="00A17E35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Менеджер компании должен иметь доступ к ежедневным отчётам по платёжным операциям. Отчёты должны формироваться в форматах PDF и XLSX с возможностью отправки на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. Архив отчётов должен храниться не менее 5 лет в соответствии с требованиями законодательства.</w:t>
      </w:r>
    </w:p>
    <w:p w14:paraId="08DD7064" w14:textId="77777777" w:rsidR="00A17E35" w:rsidRPr="00A17E35" w:rsidRDefault="00A17E35" w:rsidP="00424BA1">
      <w:pPr>
        <w:pStyle w:val="2"/>
        <w:rPr>
          <w:rFonts w:eastAsia="Times New Roman"/>
          <w:lang w:eastAsia="ru-RU"/>
        </w:rPr>
      </w:pPr>
      <w:r w:rsidRPr="00A17E35">
        <w:rPr>
          <w:rFonts w:eastAsia="Times New Roman"/>
          <w:lang w:eastAsia="ru-RU"/>
        </w:rPr>
        <w:t>3. Нефункциональные требования</w:t>
      </w:r>
    </w:p>
    <w:p w14:paraId="322D6FD7" w14:textId="77777777" w:rsidR="00A17E35" w:rsidRPr="00A17E35" w:rsidRDefault="00A17E35" w:rsidP="00424BA1">
      <w:pPr>
        <w:pStyle w:val="3"/>
        <w:rPr>
          <w:rFonts w:eastAsia="Times New Roman"/>
          <w:lang w:eastAsia="ru-RU"/>
        </w:rPr>
      </w:pPr>
      <w:r w:rsidRPr="00A17E35">
        <w:rPr>
          <w:rFonts w:eastAsia="Times New Roman"/>
          <w:lang w:eastAsia="ru-RU"/>
        </w:rPr>
        <w:t>3.1 Производительность</w:t>
      </w:r>
    </w:p>
    <w:p w14:paraId="142857D6" w14:textId="77777777" w:rsidR="00A17E35" w:rsidRPr="00A17E35" w:rsidRDefault="00A17E35" w:rsidP="00A17E35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Система должна обрабатывать до 1000 запросов в секунду в пиковые часы. Время отклика веб-интерфейса не должно превышать 1 секунды для 90% запросов. Архитектура системы должна позволять горизонтальное масштабирование через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Kubernetes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.</w:t>
      </w:r>
    </w:p>
    <w:p w14:paraId="6ABE6037" w14:textId="77777777" w:rsidR="00A17E35" w:rsidRPr="00A17E35" w:rsidRDefault="00A17E35" w:rsidP="00424BA1">
      <w:pPr>
        <w:pStyle w:val="3"/>
        <w:rPr>
          <w:rFonts w:eastAsia="Times New Roman"/>
          <w:lang w:eastAsia="ru-RU"/>
        </w:rPr>
      </w:pPr>
      <w:r w:rsidRPr="00A17E35">
        <w:rPr>
          <w:rFonts w:eastAsia="Times New Roman"/>
          <w:lang w:eastAsia="ru-RU"/>
        </w:rPr>
        <w:lastRenderedPageBreak/>
        <w:t>3.2 Безопасность</w:t>
      </w:r>
    </w:p>
    <w:p w14:paraId="247E1605" w14:textId="77777777" w:rsidR="00A17E35" w:rsidRPr="00A17E35" w:rsidRDefault="00A17E35" w:rsidP="00A17E35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Все данные должны передаваться по защищённому протоколу TLS 1.3. Пароли пользователей должны храниться в хешированном виде с использованием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bcrypt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. Доступ к административной панели разрешён только из внутренней сети банка по VPN. Система должна вести журнал всех действий пользователей с возможностью аудита.</w:t>
      </w:r>
    </w:p>
    <w:p w14:paraId="141F70D8" w14:textId="77777777" w:rsidR="00A17E35" w:rsidRPr="00A17E35" w:rsidRDefault="00A17E35" w:rsidP="00424BA1">
      <w:pPr>
        <w:pStyle w:val="3"/>
        <w:rPr>
          <w:rFonts w:eastAsia="Times New Roman"/>
          <w:lang w:eastAsia="ru-RU"/>
        </w:rPr>
      </w:pPr>
      <w:r w:rsidRPr="00A17E35">
        <w:rPr>
          <w:rFonts w:eastAsia="Times New Roman"/>
          <w:lang w:eastAsia="ru-RU"/>
        </w:rPr>
        <w:t>3.3 Доступность</w:t>
      </w:r>
    </w:p>
    <w:p w14:paraId="1538DCB2" w14:textId="77777777" w:rsidR="00A17E35" w:rsidRPr="00A17E35" w:rsidRDefault="00A17E35" w:rsidP="00A17E35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Система должна обеспечивать доступность не менее 99.5% (SLA), что ниже требований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PayGate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v2. Плановые работы по обслуживанию проводятся в технологическое окно с 02:00 до 04:00 МСК. Резервное копирование выполняется раз в неделю с хранением 90 дней.</w:t>
      </w:r>
    </w:p>
    <w:p w14:paraId="4177646B" w14:textId="77777777" w:rsidR="00A17E35" w:rsidRPr="00A17E35" w:rsidRDefault="00A17E35" w:rsidP="00424BA1">
      <w:pPr>
        <w:pStyle w:val="2"/>
        <w:rPr>
          <w:rFonts w:eastAsia="Times New Roman"/>
          <w:lang w:eastAsia="ru-RU"/>
        </w:rPr>
      </w:pPr>
      <w:r w:rsidRPr="00A17E35">
        <w:rPr>
          <w:rFonts w:eastAsia="Times New Roman"/>
          <w:lang w:eastAsia="ru-RU"/>
        </w:rPr>
        <w:t>4. Требования к инфраструктуре</w:t>
      </w:r>
    </w:p>
    <w:p w14:paraId="1C5428DA" w14:textId="77777777" w:rsidR="00A17E35" w:rsidRPr="00A17E35" w:rsidRDefault="00A17E35" w:rsidP="00A17E35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Система должна развёртываться в контейнерах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Docker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на платформе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Kubernetes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. Необходимо настроить CI/CD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pipeline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через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Jenkins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для автоматического деплоя в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staging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и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production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. Мониторинг должен осуществляться через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Prometheus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и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Grafana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с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алертами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в корпоративный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Telegram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. Логирование должно собираться через ELK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Stack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с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retention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60 дней.</w:t>
      </w:r>
    </w:p>
    <w:p w14:paraId="63AFEDB6" w14:textId="77777777" w:rsidR="00A17E35" w:rsidRPr="00A17E35" w:rsidRDefault="00A17E35" w:rsidP="00424BA1">
      <w:pPr>
        <w:pStyle w:val="2"/>
        <w:rPr>
          <w:rFonts w:eastAsia="Times New Roman"/>
          <w:lang w:eastAsia="ru-RU"/>
        </w:rPr>
      </w:pPr>
      <w:r w:rsidRPr="00A17E35">
        <w:rPr>
          <w:rFonts w:eastAsia="Times New Roman"/>
          <w:lang w:eastAsia="ru-RU"/>
        </w:rPr>
        <w:t>5. Требования к тестированию</w:t>
      </w:r>
    </w:p>
    <w:p w14:paraId="6F3F59FF" w14:textId="77777777" w:rsidR="00A17E35" w:rsidRPr="00A17E35" w:rsidRDefault="00A17E35" w:rsidP="00A17E35">
      <w:pPr>
        <w:shd w:val="clear" w:color="auto" w:fill="FFFFFF"/>
        <w:spacing w:before="240" w:after="240" w:line="240" w:lineRule="auto"/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</w:pPr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Покрытие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unit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-тестами должно составлять не менее 70% для критичных модулей. Все интеграции с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PayGate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v2 должны быть покрыты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integration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-тестами. Перед релизом обязательно проведение нагрузочного тестирования через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Gatling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. End-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to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-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end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тесты UI выполняются автоматически в </w:t>
      </w:r>
      <w:proofErr w:type="spellStart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>Playwright</w:t>
      </w:r>
      <w:proofErr w:type="spellEnd"/>
      <w:r w:rsidRPr="00A17E35">
        <w:rPr>
          <w:rFonts w:ascii="Helvetica" w:eastAsia="Times New Roman" w:hAnsi="Helvetica" w:cs="Times New Roman"/>
          <w:color w:val="080808"/>
          <w:kern w:val="0"/>
          <w:sz w:val="20"/>
          <w:szCs w:val="20"/>
          <w:lang w:eastAsia="ru-RU"/>
          <w14:ligatures w14:val="none"/>
        </w:rPr>
        <w:t xml:space="preserve"> перед каждым релизом.</w:t>
      </w:r>
    </w:p>
    <w:p w14:paraId="485EDFDA" w14:textId="77777777" w:rsidR="00A17E35" w:rsidRPr="00424BA1" w:rsidRDefault="00A17E35"/>
    <w:sectPr w:rsidR="00A17E35" w:rsidRPr="00424B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35"/>
    <w:rsid w:val="00424BA1"/>
    <w:rsid w:val="00926531"/>
    <w:rsid w:val="00A1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529E10"/>
  <w15:chartTrackingRefBased/>
  <w15:docId w15:val="{617BD8BF-01EE-2246-B17B-D268FF1D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7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7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7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7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7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17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17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7E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7E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7E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7E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7E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7E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7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7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7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7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7E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7E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7E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7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7E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7E3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17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y1926</dc:creator>
  <cp:keywords/>
  <dc:description/>
  <cp:lastModifiedBy>y1926</cp:lastModifiedBy>
  <cp:revision>2</cp:revision>
  <dcterms:created xsi:type="dcterms:W3CDTF">2026-05-19T06:18:00Z</dcterms:created>
  <dcterms:modified xsi:type="dcterms:W3CDTF">2026-05-19T06:27:00Z</dcterms:modified>
</cp:coreProperties>
</file>