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-</w:t>
      </w:r>
    </w:p>
    <w:p>
      <w:pPr>
        <w:pStyle w:val="Author"/>
      </w:pPr>
      <w:r>
        <w:t xml:space="preserve">Овениязов</w:t>
      </w:r>
      <w:r>
        <w:t xml:space="preserve"> </w:t>
      </w:r>
      <w:r>
        <w:t xml:space="preserve">Артур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Исходные данные.</w:t>
      </w:r>
      <w:r>
        <w:t xml:space="preserve"> </w:t>
      </w:r>
      <w:r>
        <w:t xml:space="preserve">Две телеграммы Центра:</w:t>
      </w:r>
      <w:r>
        <w:t xml:space="preserve"> </w:t>
      </w:r>
      <w:r>
        <w:t xml:space="preserve">P1 = НаВашисходящийот1204</w:t>
      </w:r>
      <w:r>
        <w:t xml:space="preserve"> </w:t>
      </w:r>
      <w:r>
        <w:t xml:space="preserve">P2 = ВСеверныйфилиалБанка</w:t>
      </w:r>
      <w:r>
        <w:t xml:space="preserve"> </w:t>
      </w: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  <w:r>
        <w:t xml:space="preserve"> </w:t>
      </w: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</w:t>
      </w:r>
      <w:r>
        <w:t xml:space="preserve"> </w:t>
      </w:r>
      <w:r>
        <w:t xml:space="preserve">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</w:t>
      </w:r>
      <w:r>
        <w:t xml:space="preserve"> </w:t>
      </w:r>
      <w:r>
        <w:t xml:space="preserve">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</w:t>
      </w:r>
      <w:r>
        <w:t xml:space="preserve"> </w:t>
      </w:r>
      <w:r>
        <w:t xml:space="preserve">[1]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следующий код в файле kripto2.py.</w:t>
      </w:r>
    </w:p>
    <w:p>
      <w:pPr>
        <w:pStyle w:val="CaptionedFigure"/>
      </w:pPr>
      <w:bookmarkStart w:id="24" w:name="fig:001"/>
      <w:r>
        <w:drawing>
          <wp:inline>
            <wp:extent cx="5334000" cy="4013847"/>
            <wp:effectExtent b="0" l="0" r="0" t="0"/>
            <wp:docPr descr="Figure 1: Код kripto2.ipynb" title="" id="1" name="Picture"/>
            <a:graphic>
              <a:graphicData uri="http://schemas.openxmlformats.org/drawingml/2006/picture">
                <pic:pic>
                  <pic:nvPicPr>
                    <pic:cNvPr descr="images/img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Код kripto2.ipynb</w:t>
      </w:r>
    </w:p>
    <w:p>
      <w:pPr>
        <w:pStyle w:val="CaptionedFigure"/>
      </w:pPr>
      <w:bookmarkStart w:id="26" w:name="fig:002"/>
      <w:r>
        <w:drawing>
          <wp:inline>
            <wp:extent cx="5334000" cy="2579904"/>
            <wp:effectExtent b="0" l="0" r="0" t="0"/>
            <wp:docPr descr="Figure 2: Результат выполнения kripto2.py" title="" id="1" name="Picture"/>
            <a:graphic>
              <a:graphicData uri="http://schemas.openxmlformats.org/drawingml/2006/picture">
                <pic:pic>
                  <pic:nvPicPr>
                    <pic:cNvPr descr="images/img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Результат выполнения kripto2.py</w:t>
      </w:r>
    </w:p>
    <w:bookmarkStart w:id="27" w:name="ответы-на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Как, зная один из текстов (P1 или P2), определить другой, не зная при</w:t>
      </w:r>
      <w:r>
        <w:t xml:space="preserve"> </w:t>
      </w:r>
      <w:r>
        <w:t xml:space="preserve">этом ключа?</w:t>
      </w:r>
    </w:p>
    <w:p>
      <w:pPr>
        <w:pStyle w:val="FirstParagraph"/>
      </w:pPr>
      <w:r>
        <w:t xml:space="preserve">С помощью формул режима однократного гаммирования получим</w:t>
      </w:r>
      <w:r>
        <w:t xml:space="preserve"> </w:t>
      </w:r>
      <w:r>
        <w:t xml:space="preserve">шифротексты обеих телеграмм:</w:t>
      </w:r>
    </w:p>
    <w:p>
      <w:pPr>
        <w:pStyle w:val="BodyText"/>
      </w:pPr>
      <w:r>
        <w:t xml:space="preserve">С1 = Р1 xor К,</w:t>
      </w:r>
    </w:p>
    <w:p>
      <w:pPr>
        <w:pStyle w:val="BodyText"/>
      </w:pPr>
      <w:r>
        <w:t xml:space="preserve">С2 = Р2 xor К.</w:t>
      </w:r>
    </w:p>
    <w:p>
      <w:pPr>
        <w:pStyle w:val="BodyText"/>
      </w:pPr>
      <w:r>
        <w:t xml:space="preserve">Задача нахождения открытого текста по известному шифротексту двух</w:t>
      </w:r>
      <w:r>
        <w:t xml:space="preserve"> </w:t>
      </w:r>
      <w:r>
        <w:t xml:space="preserve">телеграмм, зашифрованных одним ключом, может быть решена. Сложим по модулю</w:t>
      </w:r>
      <w:r>
        <w:t xml:space="preserve"> </w:t>
      </w:r>
      <w:r>
        <w:t xml:space="preserve">2 оба равенства, получаем:</w:t>
      </w:r>
    </w:p>
    <w:p>
      <w:pPr>
        <w:pStyle w:val="BodyText"/>
      </w:pPr>
      <w:r>
        <w:t xml:space="preserve">С1 xor С2 = Р1 xor К xor Р2 xor К = Р1 xor Р2.</w:t>
      </w:r>
    </w:p>
    <w:p>
      <w:pPr>
        <w:pStyle w:val="BodyText"/>
      </w:pPr>
      <w:r>
        <w:t xml:space="preserve">имеем:</w:t>
      </w:r>
    </w:p>
    <w:p>
      <w:pPr>
        <w:pStyle w:val="BodyText"/>
      </w:pPr>
      <w:r>
        <w:t xml:space="preserve">С1 xor С2 xor Р1 = Р1 xor Р2 xor Р1 = Р2.</w:t>
      </w:r>
    </w:p>
    <w:p>
      <w:pPr>
        <w:pStyle w:val="BodyText"/>
      </w:pPr>
      <w:r>
        <w:t xml:space="preserve">Таким образом, получаем возможность определить те символы сообщения Р2,</w:t>
      </w:r>
      <w:r>
        <w:t xml:space="preserve"> </w:t>
      </w:r>
      <w:r>
        <w:t xml:space="preserve">которые находятся на позициях известного сообщения Р1. Догадываясь по логике</w:t>
      </w:r>
      <w:r>
        <w:t xml:space="preserve"> </w:t>
      </w:r>
      <w:r>
        <w:t xml:space="preserve">сообщения Р2, Имеем реальный шанс узнать ещё некоторое количество символов</w:t>
      </w:r>
      <w:r>
        <w:t xml:space="preserve"> </w:t>
      </w:r>
      <w:r>
        <w:t xml:space="preserve">сообщения Р2. Затем вместо Р1 подставляя новоузнанные символы сообщения Р2. И</w:t>
      </w:r>
      <w:r>
        <w:t xml:space="preserve"> </w:t>
      </w:r>
      <w:r>
        <w:t xml:space="preserve">так далее. Действуя подобным образом, можно если даже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</w:p>
    <w:p>
      <w:pPr>
        <w:numPr>
          <w:ilvl w:val="0"/>
          <w:numId w:val="1002"/>
        </w:numPr>
        <w:pStyle w:val="Compact"/>
      </w:pPr>
      <w:r>
        <w:t xml:space="preserve">Что будет при повторном использовании ключа при шифровании</w:t>
      </w:r>
      <w:r>
        <w:t xml:space="preserve"> </w:t>
      </w:r>
      <w:r>
        <w:t xml:space="preserve">текста?</w:t>
      </w:r>
    </w:p>
    <w:p>
      <w:pPr>
        <w:pStyle w:val="FirstParagraph"/>
      </w:pPr>
      <w:r>
        <w:t xml:space="preserve">Если на сообщение наложить ключ дважды, мы получим исходное сообщение.</w:t>
      </w:r>
    </w:p>
    <w:p>
      <w:pPr>
        <w:numPr>
          <w:ilvl w:val="0"/>
          <w:numId w:val="1003"/>
        </w:numPr>
        <w:pStyle w:val="Compact"/>
      </w:pPr>
      <w:r>
        <w:t xml:space="preserve">Как реализуется режим шифрования однократного гаммирования</w:t>
      </w:r>
      <w:r>
        <w:t xml:space="preserve"> </w:t>
      </w:r>
      <w:r>
        <w:t xml:space="preserve">одним ключом двух открытых текстов?</w:t>
      </w:r>
    </w:p>
    <w:p>
      <w:pPr>
        <w:pStyle w:val="FirstParagraph"/>
      </w:pPr>
      <w:r>
        <w:t xml:space="preserve">Один ключ накладываем на оба открытых текста и получаем два</w:t>
      </w:r>
      <w:r>
        <w:t xml:space="preserve"> </w:t>
      </w:r>
      <w:r>
        <w:t xml:space="preserve">зашифрованных одним ключом шифротекста.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Зная текст одного из сообщения можно узнать текст второго, не зная кода.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Нет необходимости каждый раз придумывать ключи для каждого сообщение.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на практике применение</w:t>
      </w:r>
      <w:r>
        <w:t xml:space="preserve"> </w:t>
      </w:r>
      <w:r>
        <w:t xml:space="preserve">режима однократного гаммирования на примере кодирования различных исходных</w:t>
      </w:r>
      <w:r>
        <w:t xml:space="preserve"> </w:t>
      </w:r>
      <w:r>
        <w:t xml:space="preserve">текстов одним ключом, разработал приложение, позволяющие шифровать и</w:t>
      </w:r>
      <w:r>
        <w:t xml:space="preserve"> </w:t>
      </w:r>
      <w:r>
        <w:t xml:space="preserve">дешифровать различные тексты в режиме однократного гаммирования.</w:t>
      </w:r>
    </w:p>
    <w:bookmarkEnd w:id="29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31" w:name="ref-lossit:ggwp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доступа Linux</w:t>
      </w:r>
      <w:r>
        <w:t xml:space="preserve"> </w:t>
      </w:r>
      <w:r>
        <w:t xml:space="preserve">[Электронный ресурс]. Сайт, 2021. URL:</w:t>
      </w:r>
      <w:r>
        <w:t xml:space="preserve"> </w:t>
      </w:r>
      <w:hyperlink r:id="rId30">
        <w:r>
          <w:rPr>
            <w:rStyle w:val="Hyperlink"/>
          </w:rPr>
          <w:t xml:space="preserve">http://debianinstall.ru/diskretsionnoe-razgranichenie-dostupa-linux/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://debianinstall.ru/diskretsionnoe-razgranichenie-dostupa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debianinstall.ru/diskretsionnoe-razgranichenie-dostupa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Овениязов Артур</dc:creator>
  <dc:language>ru-RU</dc:language>
  <cp:keywords/>
  <dcterms:created xsi:type="dcterms:W3CDTF">2021-12-18T17:54:37Z</dcterms:created>
  <dcterms:modified xsi:type="dcterms:W3CDTF">2021-12-18T17:54:37Z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-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