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- модели Ланчестера и построить их для двух случаев: боевые действия между регулярными войсками и боевые действия с участием регулярных войск и партизанских отрядов.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21 050 человек, а в распоряжении страны У армия численностью в 8 900 человек. Для упрощения модели считаем, что коэффициенты a,b,c,h постоянны. Также считаем P(t) и</w:t>
      </w:r>
      <w:r>
        <w:t xml:space="preserve"> </w:t>
      </w:r>
      <w:r>
        <w:t xml:space="preserve">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SourceCode"/>
      </w:pPr>
      <w:r>
        <w:rPr>
          <w:rStyle w:val="VerbatimChar"/>
        </w:rPr>
        <w:t xml:space="preserve">1. Модель боевых действий между регулярными войсками:  </w:t>
      </w:r>
      <w:r>
        <w:br/>
      </w:r>
      <w:r>
        <w:br/>
      </w:r>
      <w:r>
        <w:rPr>
          <w:rStyle w:val="VerbatimChar"/>
        </w:rPr>
        <w:t xml:space="preserve">dx/dt = -0.32x(t) - 0.74y(t) + 2|sin(t)|  </w:t>
      </w:r>
      <w:r>
        <w:br/>
      </w:r>
      <w:r>
        <w:rPr>
          <w:rStyle w:val="VerbatimChar"/>
        </w:rPr>
        <w:t xml:space="preserve">dy/dt = -0.44x(t) - 0.52y(t) + 2|cos(t)|  </w:t>
      </w:r>
      <w:r>
        <w:br/>
      </w:r>
      <w:r>
        <w:br/>
      </w:r>
      <w:r>
        <w:rPr>
          <w:rStyle w:val="VerbatimChar"/>
        </w:rPr>
        <w:t xml:space="preserve">2. Модель ведение боевых действий с участием регулярных войск и партизанских отрядов:  </w:t>
      </w:r>
      <w:r>
        <w:br/>
      </w:r>
      <w:r>
        <w:br/>
      </w:r>
      <w:r>
        <w:rPr>
          <w:rStyle w:val="VerbatimChar"/>
        </w:rPr>
        <w:t xml:space="preserve">dx/dt = -0.39x(t) - 0.84y(t) + |sin(2t)|  </w:t>
      </w:r>
      <w:r>
        <w:br/>
      </w:r>
      <w:r>
        <w:rPr>
          <w:rStyle w:val="VerbatimChar"/>
        </w:rPr>
        <w:t xml:space="preserve">dx/dt = -0.42x(t) - 0.49y(t) + |cos(2t)|  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первом случае модель боевых действий между регулярными войсками описывается следующим образом:</w:t>
      </w:r>
      <w:r>
        <w:br/>
      </w:r>
      <w:r>
        <w:t xml:space="preserve">dx/dt = -a(t)x(t) - b(t)y(t) + P(t)</w:t>
      </w:r>
      <w:r>
        <w:br/>
      </w:r>
      <w:r>
        <w:t xml:space="preserve">dx/dt = -c(t)x(t) - h(t)y(t) + Q(t)</w:t>
      </w:r>
    </w:p>
    <w:p>
      <w:pPr>
        <w:pStyle w:val="BodyText"/>
      </w:pPr>
      <w:r>
        <w:t xml:space="preserve">Потери, не связанные с боевыми действиями, описывают члены -a(t)x(t) и -h(t)y(t), члены -b(t)y(t) и -c(t)x(t) отражают потери на поле боя.</w:t>
      </w:r>
      <w:r>
        <w:br/>
      </w:r>
      <w:r>
        <w:t xml:space="preserve">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  <w:r>
        <w:br/>
      </w:r>
      <w:r>
        <w:t xml:space="preserve">dx/dt = -a(t)x(t) - b(t)y(t) + P(t)</w:t>
      </w:r>
      <w:r>
        <w:br/>
      </w:r>
      <w:r>
        <w:t xml:space="preserve">dx/dt = -c(t)x(t)y(t) - h(t)y(t) + Q(t)</w:t>
      </w:r>
    </w:p>
    <w:bookmarkEnd w:id="22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Пропишем программу для отображения модели первого случая: боевые действия между регулярными войсками.</w:t>
      </w:r>
    </w:p>
    <w:p>
      <w:pPr>
        <w:pStyle w:val="SourceCode"/>
      </w:pPr>
      <w:r>
        <w:rPr>
          <w:rStyle w:val="VerbatimChar"/>
        </w:rPr>
        <w:t xml:space="preserve">Задаём исходные значения в соответствующие переменные:</w:t>
      </w:r>
    </w:p>
    <w:p>
      <w:pPr>
        <w:pStyle w:val="CaptionedFigure"/>
      </w:pPr>
      <w:bookmarkStart w:id="26" w:name="fig:001"/>
      <w:r>
        <w:drawing>
          <wp:inline>
            <wp:extent cx="5334000" cy="1257926"/>
            <wp:effectExtent b="0" l="0" r="0" t="0"/>
            <wp:docPr descr="Объявление переменных с данными значениями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Объявление переменных с данными значениями</w:t>
      </w:r>
    </w:p>
    <w:p>
      <w:pPr>
        <w:pStyle w:val="SourceCode"/>
      </w:pPr>
      <w:r>
        <w:rPr>
          <w:rStyle w:val="VerbatimChar"/>
        </w:rPr>
        <w:t xml:space="preserve">Объявляем переменную для времени t и присваиваем переменным x и y начальные значения:  </w:t>
      </w:r>
    </w:p>
    <w:p>
      <w:pPr>
        <w:pStyle w:val="CaptionedFigure"/>
      </w:pPr>
      <w:bookmarkStart w:id="30" w:name="fig:002"/>
      <w:r>
        <w:drawing>
          <wp:inline>
            <wp:extent cx="5334000" cy="516822"/>
            <wp:effectExtent b="0" l="0" r="0" t="0"/>
            <wp:docPr descr="Переменные t, x, y" title="" id="28" name="Picture"/>
            <a:graphic>
              <a:graphicData uri="http://schemas.openxmlformats.org/drawingml/2006/picture">
                <pic:pic>
                  <pic:nvPicPr>
                    <pic:cNvPr descr="screen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Переменные t, x, y</w:t>
      </w:r>
    </w:p>
    <w:p>
      <w:pPr>
        <w:pStyle w:val="SourceCode"/>
      </w:pPr>
      <w:r>
        <w:rPr>
          <w:rStyle w:val="VerbatimChar"/>
        </w:rPr>
        <w:t xml:space="preserve">Пропишем систему дифференциальных уравнений:  </w:t>
      </w:r>
    </w:p>
    <w:p>
      <w:pPr>
        <w:pStyle w:val="CaptionedFigure"/>
      </w:pPr>
      <w:bookmarkStart w:id="34" w:name="fig:003"/>
      <w:r>
        <w:drawing>
          <wp:inline>
            <wp:extent cx="5334000" cy="1101904"/>
            <wp:effectExtent b="0" l="0" r="0" t="0"/>
            <wp:docPr descr="Уравнения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screen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Уравнения для первого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времени 0 &lt; t &lt; 1 с интервалом 0,05:  </w:t>
      </w:r>
    </w:p>
    <w:p>
      <w:pPr>
        <w:pStyle w:val="CaptionedFigure"/>
      </w:pPr>
      <w:bookmarkStart w:id="38" w:name="fig:004"/>
      <w:r>
        <w:drawing>
          <wp:inline>
            <wp:extent cx="5334000" cy="2956288"/>
            <wp:effectExtent b="0" l="0" r="0" t="0"/>
            <wp:docPr descr="Модель для первого случая" title="" id="36" name="Picture"/>
            <a:graphic>
              <a:graphicData uri="http://schemas.openxmlformats.org/drawingml/2006/picture">
                <pic:pic>
                  <pic:nvPicPr>
                    <pic:cNvPr descr="screen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Модель для первого случая</w:t>
      </w:r>
    </w:p>
    <w:p>
      <w:pPr>
        <w:pStyle w:val="BodyText"/>
      </w:pPr>
      <w:r>
        <w:rPr>
          <w:bCs/>
          <w:b/>
        </w:rPr>
        <w:t xml:space="preserve">2. Изменим программу для второго случая: боевые действия с участием регулярных войск и партизанских отрядов.</w:t>
      </w:r>
    </w:p>
    <w:p>
      <w:pPr>
        <w:pStyle w:val="SourceCode"/>
      </w:pPr>
      <w:r>
        <w:rPr>
          <w:rStyle w:val="VerbatimChar"/>
        </w:rPr>
        <w:t xml:space="preserve">Зададим новые значения для переменных a, b, c, h:  </w:t>
      </w:r>
    </w:p>
    <w:p>
      <w:pPr>
        <w:pStyle w:val="CaptionedFigure"/>
      </w:pPr>
      <w:bookmarkStart w:id="42" w:name="fig:005"/>
      <w:r>
        <w:drawing>
          <wp:inline>
            <wp:extent cx="5334000" cy="1255631"/>
            <wp:effectExtent b="0" l="0" r="0" t="0"/>
            <wp:docPr descr="Переменные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screen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Переменные для второго случая</w:t>
      </w:r>
    </w:p>
    <w:p>
      <w:pPr>
        <w:pStyle w:val="SourceCode"/>
      </w:pPr>
      <w:r>
        <w:rPr>
          <w:rStyle w:val="VerbatimChar"/>
        </w:rPr>
        <w:t xml:space="preserve">Переменные t, x, y сохраняют свои значения:  </w:t>
      </w:r>
    </w:p>
    <w:p>
      <w:pPr>
        <w:pStyle w:val="CaptionedFigure"/>
      </w:pPr>
      <w:bookmarkStart w:id="46" w:name="fig:006"/>
      <w:r>
        <w:drawing>
          <wp:inline>
            <wp:extent cx="5334000" cy="525613"/>
            <wp:effectExtent b="0" l="0" r="0" t="0"/>
            <wp:docPr descr="Переменные t, x, y" title="" id="44" name="Picture"/>
            <a:graphic>
              <a:graphicData uri="http://schemas.openxmlformats.org/drawingml/2006/picture">
                <pic:pic>
                  <pic:nvPicPr>
                    <pic:cNvPr descr="screens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Переменные t, x, y</w:t>
      </w:r>
    </w:p>
    <w:p>
      <w:pPr>
        <w:pStyle w:val="SourceCode"/>
      </w:pPr>
      <w:r>
        <w:rPr>
          <w:rStyle w:val="VerbatimChar"/>
        </w:rPr>
        <w:t xml:space="preserve">Пропишем систему дифференциальных уравнений для второго случая:  </w:t>
      </w:r>
    </w:p>
    <w:p>
      <w:pPr>
        <w:pStyle w:val="CaptionedFigure"/>
      </w:pPr>
      <w:bookmarkStart w:id="50" w:name="fig:007"/>
      <w:r>
        <w:drawing>
          <wp:inline>
            <wp:extent cx="5334000" cy="1080427"/>
            <wp:effectExtent b="0" l="0" r="0" t="0"/>
            <wp:docPr descr="Уравнения для второго случая" title="" id="48" name="Picture"/>
            <a:graphic>
              <a:graphicData uri="http://schemas.openxmlformats.org/drawingml/2006/picture">
                <pic:pic>
                  <pic:nvPicPr>
                    <pic:cNvPr descr="screen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Уравнения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второго случая для времени 0 &lt; t &lt; 1 с интервалом 0,05:  </w:t>
      </w:r>
    </w:p>
    <w:p>
      <w:pPr>
        <w:pStyle w:val="CaptionedFigure"/>
      </w:pPr>
      <w:bookmarkStart w:id="54" w:name="fig:008"/>
      <w:r>
        <w:drawing>
          <wp:inline>
            <wp:extent cx="5334000" cy="3083099"/>
            <wp:effectExtent b="0" l="0" r="0" t="0"/>
            <wp:docPr descr="Модель для второго случая" title="" id="52" name="Picture"/>
            <a:graphic>
              <a:graphicData uri="http://schemas.openxmlformats.org/drawingml/2006/picture">
                <pic:pic>
                  <pic:nvPicPr>
                    <pic:cNvPr descr="screens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Модель для второго случая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моделями Ланчестера для боевых действий и реализовал модели для двух случаев: боевых действий между регулярными войсками и боевых действий с участием регулярных войск и партизанских отрядов.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№3. Модель боевых действий [Электронный ресурс] - 7 с. </w:t>
      </w:r>
      <w:r>
        <w:br/>
      </w:r>
      <w:r>
        <w:rPr>
          <w:rStyle w:val="VerbatimChar"/>
        </w:rPr>
        <w:t xml:space="preserve">2. Кулябов Д.С. Лабораторная работа №3. Варианты [Электронный ресурс] - 47 с. 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Олегович Воробьев</dc:creator>
  <dc:language>ru-RU</dc:language>
  <cp:keywords/>
  <dcterms:created xsi:type="dcterms:W3CDTF">2022-02-24T18:00:14Z</dcterms:created>
  <dcterms:modified xsi:type="dcterms:W3CDTF">2022-02-24T18:00:14Z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Вариант 39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