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эпидемии, построить графики изменения численности трёх групп особей для двух случаев, относительно числа инфицированных особей.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график зависимости численности трёх групп особей: восприимчивых к болезни, пока что здоровых, инфицированных, которые распространяют инфекцию и здоровые с иммунитетом к болезни для двух случаев, когда число инфицированных меньше критического значения и когда больше него.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  <w:r>
        <w:t xml:space="preserve"> </w:t>
      </w: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 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  <w:r>
        <w:t xml:space="preserve"> </w:t>
      </w:r>
      <w:r>
        <w:t xml:space="preserve">Для того, чтобы решения соответствующих уравнений определялось однозначно, необходимо задать начальные условия .Считаем,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Пропишем программу для построения графика зависимости численности трёх групп особей, с условием, что</w:t>
      </w:r>
      <w:r>
        <w:rPr>
          <w:bCs/>
          <w:b/>
        </w:rP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bCs/>
          <w:b/>
        </w:rPr>
        <w:t xml:space="preserve">.</w:t>
      </w:r>
    </w:p>
    <w:p>
      <w:pPr>
        <w:pStyle w:val="BodyText"/>
      </w:pPr>
      <w:r>
        <w:t xml:space="preserve">Зададим исходные переменные и пропишем уровнения:</w:t>
      </w:r>
    </w:p>
    <w:p>
      <w:pPr>
        <w:pStyle w:val="CaptionedFigure"/>
      </w:pPr>
      <w:bookmarkStart w:id="26" w:name="fig:001"/>
      <w:r>
        <w:drawing>
          <wp:inline>
            <wp:extent cx="5334000" cy="2368503"/>
            <wp:effectExtent b="0" l="0" r="0" t="0"/>
            <wp:docPr descr="Figure 1: Код программы для первого слуачая" title="" id="24" name="Picture"/>
            <a:graphic>
              <a:graphicData uri="http://schemas.openxmlformats.org/drawingml/2006/picture">
                <pic:pic>
                  <pic:nvPicPr>
                    <pic:cNvPr descr="screen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 программы для первого слуачая</w:t>
      </w:r>
    </w:p>
    <w:p>
      <w:pPr>
        <w:pStyle w:val="BodyText"/>
      </w:pPr>
      <w:r>
        <w:t xml:space="preserve">Запускаем модель для времени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t</m:t>
        </m:r>
        <m:r>
          <m:rPr>
            <m:sty m:val="p"/>
          </m:rPr>
          <m:t>&lt;</m:t>
        </m:r>
        <m:r>
          <m:t>200</m:t>
        </m:r>
      </m:oMath>
      <w:r>
        <w:t xml:space="preserve">, с шагом 0,01:</w:t>
      </w:r>
    </w:p>
    <w:p>
      <w:pPr>
        <w:pStyle w:val="CaptionedFigure"/>
      </w:pPr>
      <w:bookmarkStart w:id="30" w:name="fig:002"/>
      <w:r>
        <w:drawing>
          <wp:inline>
            <wp:extent cx="5334000" cy="1873480"/>
            <wp:effectExtent b="0" l="0" r="0" t="0"/>
            <wp:docPr descr="Figure 2: Установки симуляции" title="" id="28" name="Picture"/>
            <a:graphic>
              <a:graphicData uri="http://schemas.openxmlformats.org/drawingml/2006/picture">
                <pic:pic>
                  <pic:nvPicPr>
                    <pic:cNvPr descr="screen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Установки симуляции</w:t>
      </w:r>
    </w:p>
    <w:p>
      <w:pPr>
        <w:pStyle w:val="CaptionedFigure"/>
      </w:pPr>
      <w:bookmarkStart w:id="34" w:name="fig:003"/>
      <w:r>
        <w:drawing>
          <wp:inline>
            <wp:extent cx="5334000" cy="2827568"/>
            <wp:effectExtent b="0" l="0" r="0" t="0"/>
            <wp:docPr descr="Figure 3: Соотношение инфицированных и людей с иммунитетом" title="" id="32" name="Picture"/>
            <a:graphic>
              <a:graphicData uri="http://schemas.openxmlformats.org/drawingml/2006/picture">
                <pic:pic>
                  <pic:nvPicPr>
                    <pic:cNvPr descr="screens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Соотношение инфицированных и людей с иммунитетом</w:t>
      </w:r>
    </w:p>
    <w:p>
      <w:pPr>
        <w:pStyle w:val="BodyText"/>
      </w:pPr>
      <w:r>
        <w:t xml:space="preserve">Добавим к предыдущему соотношению число людей, воскприимчивых к заболеванию:</w:t>
      </w:r>
    </w:p>
    <w:p>
      <w:pPr>
        <w:pStyle w:val="CaptionedFigure"/>
      </w:pPr>
      <w:bookmarkStart w:id="38" w:name="fig:004"/>
      <w:r>
        <w:drawing>
          <wp:inline>
            <wp:extent cx="5334000" cy="2827568"/>
            <wp:effectExtent b="0" l="0" r="0" t="0"/>
            <wp:docPr descr="Figure 4: Соотношение трёх групп особей для первого случая" title="" id="36" name="Picture"/>
            <a:graphic>
              <a:graphicData uri="http://schemas.openxmlformats.org/drawingml/2006/picture">
                <pic:pic>
                  <pic:nvPicPr>
                    <pic:cNvPr descr="screens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Соотношение трёх групп особей для первого случая</w:t>
      </w:r>
    </w:p>
    <w:p>
      <w:pPr>
        <w:pStyle w:val="BodyText"/>
      </w:pPr>
      <w:r>
        <w:rPr>
          <w:bCs/>
          <w:b/>
        </w:rPr>
        <w:t xml:space="preserve">2. Изменим программу для второго случая, где</w:t>
      </w:r>
      <w:r>
        <w:rPr>
          <w:bCs/>
          <w:b/>
        </w:rP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VerbatimChar"/>
        </w:rPr>
        <w:t xml:space="preserve">Изменим уравнения:  </w:t>
      </w:r>
    </w:p>
    <w:p>
      <w:pPr>
        <w:pStyle w:val="CaptionedFigure"/>
      </w:pPr>
      <w:bookmarkStart w:id="42" w:name="fig:005"/>
      <w:r>
        <w:drawing>
          <wp:inline>
            <wp:extent cx="5334000" cy="2354002"/>
            <wp:effectExtent b="0" l="0" r="0" t="0"/>
            <wp:docPr descr="Figure 5: Код программы для второго случая" title="" id="40" name="Picture"/>
            <a:graphic>
              <a:graphicData uri="http://schemas.openxmlformats.org/drawingml/2006/picture">
                <pic:pic>
                  <pic:nvPicPr>
                    <pic:cNvPr descr="screens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Код программы для второго случая</w:t>
      </w:r>
    </w:p>
    <w:p>
      <w:pPr>
        <w:pStyle w:val="SourceCode"/>
      </w:pPr>
      <w:r>
        <w:rPr>
          <w:rStyle w:val="VerbatimChar"/>
        </w:rPr>
        <w:t xml:space="preserve">Запускаем модель для с теми же установками симуляции:  </w:t>
      </w:r>
    </w:p>
    <w:p>
      <w:pPr>
        <w:pStyle w:val="CaptionedFigure"/>
      </w:pPr>
      <w:bookmarkStart w:id="46" w:name="fig:006"/>
      <w:r>
        <w:drawing>
          <wp:inline>
            <wp:extent cx="5334000" cy="2848482"/>
            <wp:effectExtent b="0" l="0" r="0" t="0"/>
            <wp:docPr descr="Figure 6: Соотношение трёх групп особей для второго случая" title="" id="44" name="Picture"/>
            <a:graphic>
              <a:graphicData uri="http://schemas.openxmlformats.org/drawingml/2006/picture">
                <pic:pic>
                  <pic:nvPicPr>
                    <pic:cNvPr descr="screens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Соотношение трёх групп особей для второго случая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познакомился с моделью эпидимии, релизовал графики с соотношений различных групп особей для случаев, когда число заболевших меньше критического значения, и наоборот, когда оно превышает критическое значение.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SourceCode"/>
      </w:pPr>
      <w:r>
        <w:rPr>
          <w:rStyle w:val="VerbatimChar"/>
        </w:rPr>
        <w:t xml:space="preserve">1. Кулябов Д.С. Лабораторная работа №6. Модель хищник-жертва [Электронный ресурс] - 4 с. </w:t>
      </w:r>
      <w:r>
        <w:br/>
      </w:r>
      <w:r>
        <w:rPr>
          <w:rStyle w:val="VerbatimChar"/>
        </w:rPr>
        <w:t xml:space="preserve">2. Кулябов Д.С. Лабораторная работа №6. Варианты [Электронный ресурс] - 28 с. 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Александр Олегович Воробьев</dc:creator>
  <dc:language>ru-RU</dc:language>
  <cp:keywords/>
  <dcterms:created xsi:type="dcterms:W3CDTF">2022-03-15T14:18:07Z</dcterms:created>
  <dcterms:modified xsi:type="dcterms:W3CDTF">2022-03-15T14:18:07Z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Вариант 39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