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Вариант</w:t>
      </w:r>
      <w:r>
        <w:t xml:space="preserve"> </w:t>
      </w:r>
      <w:r>
        <w:t xml:space="preserve">39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Олегович</w:t>
      </w:r>
      <w:r>
        <w:t xml:space="preserve"> </w:t>
      </w:r>
      <w:r>
        <w:t xml:space="preserve">Воробьев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рекламы, построить графики моделей для трёх случаев с разными значениями для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</m:oMath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Построить график распространения рекламы, математическая модель которой описывается следующим уравнением:</w:t>
      </w:r>
      <w:r>
        <w:br/>
      </w:r>
      <w:r>
        <w:t xml:space="preserve">1.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0.67</m:t>
            </m:r>
            <m:r>
              <m:rPr>
                <m:sty m:val="p"/>
              </m:rPr>
              <m:t>+</m:t>
            </m:r>
            <m:r>
              <m:t>0.000067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br/>
      </w:r>
      <w:r>
        <w:t xml:space="preserve">2.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0.000076</m:t>
            </m:r>
            <m:r>
              <m:rPr>
                <m:sty m:val="p"/>
              </m:rPr>
              <m:t>+</m:t>
            </m:r>
            <m:r>
              <m:t>0.76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br/>
      </w:r>
      <w:r>
        <w:t xml:space="preserve">3.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0.76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t>0.67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BodyText"/>
      </w:pPr>
      <w:r>
        <w:t xml:space="preserve">При этом объем аудитории N = 1150, в начальный момент о товаре знает 12 человек. Для случая 2 определить в какой момент времени скорость распространения рекламы будет иметь максимальное значение.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  <w:r>
        <w:br/>
      </w:r>
      <w:r>
        <w:t xml:space="preserve">Предположим, что торговыми учреждениями реализуется некоторая продукция, о которой в момент времени t из числа потенциальных покупателей N знает лишь n 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знающих.</w:t>
      </w:r>
      <w:r>
        <w:br/>
      </w: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число уже информированных клиентов. Эта величина пропорциональна числу покупателей, еще не знающих о нем, это описывается следующим образом: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 </w:t>
      </w:r>
      <w:r>
        <w:t xml:space="preserve">, где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α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 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эта величина увеличивается с увеличением потребителей узнавших о товаре. Математическая модель распространения рекламы описывается уравнением: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α</m:t>
                </m:r>
              </m:e>
              <m:sub>
                <m:r>
                  <m:t>1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sSub>
              <m:e>
                <m:r>
                  <m:t>α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r>
          <m:rPr>
            <m:sty m:val="p"/>
          </m:rPr>
          <m:t>)</m:t>
        </m:r>
      </m:oMath>
      <w:r>
        <w:br/>
      </w: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получается модель типа модели Мальтуса.</w:t>
      </w:r>
      <w:r>
        <w:t xml:space="preserve"> </w:t>
      </w:r>
      <w:r>
        <w:t xml:space="preserve">В обратном случае,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получаем уравнение логистической кривой.</w:t>
      </w:r>
    </w:p>
    <w:bookmarkEnd w:id="22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 Пропишем программу для построения графика первой модели.</w:t>
      </w:r>
    </w:p>
    <w:p>
      <w:pPr>
        <w:pStyle w:val="BodyText"/>
      </w:pPr>
      <w:r>
        <w:t xml:space="preserve">Зададим исходные переменные и пропишем уровнение:</w:t>
      </w:r>
    </w:p>
    <w:p>
      <w:pPr>
        <w:pStyle w:val="CaptionedFigure"/>
      </w:pPr>
      <w:bookmarkStart w:id="26" w:name="fig:001"/>
      <w:r>
        <w:drawing>
          <wp:inline>
            <wp:extent cx="5334000" cy="2810913"/>
            <wp:effectExtent b="0" l="0" r="0" t="0"/>
            <wp:docPr descr="Figure 1: Код программы для первого слуачая" title="" id="24" name="Picture"/>
            <a:graphic>
              <a:graphicData uri="http://schemas.openxmlformats.org/drawingml/2006/picture">
                <pic:pic>
                  <pic:nvPicPr>
                    <pic:cNvPr descr="screens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0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Код программы для первого слуачая</w:t>
      </w:r>
    </w:p>
    <w:p>
      <w:pPr>
        <w:pStyle w:val="BodyText"/>
      </w:pPr>
      <w:r>
        <w:t xml:space="preserve">Запускаем модель для времени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t</m:t>
        </m:r>
        <m:r>
          <m:rPr>
            <m:sty m:val="p"/>
          </m:rPr>
          <m:t>&lt;</m:t>
        </m:r>
        <m:r>
          <m:t>30</m:t>
        </m:r>
      </m:oMath>
      <w:r>
        <w:t xml:space="preserve">, с шагом 0,1:</w:t>
      </w:r>
    </w:p>
    <w:p>
      <w:pPr>
        <w:pStyle w:val="CaptionedFigure"/>
      </w:pPr>
      <w:bookmarkStart w:id="30" w:name="fig:002"/>
      <w:r>
        <w:drawing>
          <wp:inline>
            <wp:extent cx="5334000" cy="1710446"/>
            <wp:effectExtent b="0" l="0" r="0" t="0"/>
            <wp:docPr descr="Figure 2: Установки симуляции" title="" id="28" name="Picture"/>
            <a:graphic>
              <a:graphicData uri="http://schemas.openxmlformats.org/drawingml/2006/picture">
                <pic:pic>
                  <pic:nvPicPr>
                    <pic:cNvPr descr="screens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0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Установки симуляции</w:t>
      </w:r>
    </w:p>
    <w:p>
      <w:pPr>
        <w:pStyle w:val="CaptionedFigure"/>
      </w:pPr>
      <w:bookmarkStart w:id="34" w:name="fig:003"/>
      <w:r>
        <w:drawing>
          <wp:inline>
            <wp:extent cx="5334000" cy="3356381"/>
            <wp:effectExtent b="0" l="0" r="0" t="0"/>
            <wp:docPr descr="Figure 3: Модель для первого случая" title="" id="32" name="Picture"/>
            <a:graphic>
              <a:graphicData uri="http://schemas.openxmlformats.org/drawingml/2006/picture">
                <pic:pic>
                  <pic:nvPicPr>
                    <pic:cNvPr descr="screens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6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Модель для первого случая</w:t>
      </w:r>
    </w:p>
    <w:p>
      <w:pPr>
        <w:pStyle w:val="BodyText"/>
      </w:pPr>
      <w:r>
        <w:rPr>
          <w:bCs/>
          <w:b/>
        </w:rPr>
        <w:t xml:space="preserve">2. Изменим программу для второго случая, заменив значения переменных</w:t>
      </w:r>
      <w:r>
        <w:rPr>
          <w:bCs/>
          <w:b/>
        </w:rP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</m:oMath>
      <w:r>
        <w:rPr>
          <w:bCs/>
          <w:b/>
        </w:rPr>
        <w:t xml:space="preserve"> </w:t>
      </w:r>
      <w:r>
        <w:rPr>
          <w:bCs/>
          <w:b/>
        </w:rPr>
        <w:t xml:space="preserve">и</w:t>
      </w:r>
      <w:r>
        <w:rPr>
          <w:bCs/>
          <w:b/>
        </w:rP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</m:oMath>
      <w:r>
        <w:rPr>
          <w:bCs/>
          <w:b/>
        </w:rPr>
        <w:t xml:space="preserve">.</w:t>
      </w:r>
    </w:p>
    <w:p>
      <w:pPr>
        <w:pStyle w:val="SourceCode"/>
      </w:pPr>
      <w:r>
        <w:rPr>
          <w:rStyle w:val="VerbatimChar"/>
        </w:rPr>
        <w:t xml:space="preserve">Изменим переменные:  </w:t>
      </w:r>
    </w:p>
    <w:p>
      <w:pPr>
        <w:pStyle w:val="CaptionedFigure"/>
      </w:pPr>
      <w:bookmarkStart w:id="38" w:name="fig:004"/>
      <w:r>
        <w:drawing>
          <wp:inline>
            <wp:extent cx="5334000" cy="2822448"/>
            <wp:effectExtent b="0" l="0" r="0" t="0"/>
            <wp:docPr descr="Figure 4: Код программы для второго случая" title="" id="36" name="Picture"/>
            <a:graphic>
              <a:graphicData uri="http://schemas.openxmlformats.org/drawingml/2006/picture">
                <pic:pic>
                  <pic:nvPicPr>
                    <pic:cNvPr descr="screens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2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Код программы для второго случая</w:t>
      </w:r>
    </w:p>
    <w:p>
      <w:pPr>
        <w:pStyle w:val="SourceCode"/>
      </w:pPr>
      <w:r>
        <w:rPr>
          <w:rStyle w:val="VerbatimChar"/>
        </w:rPr>
        <w:t xml:space="preserve">Запускаем модель для второго случая с теми же установками симуляции:  </w:t>
      </w:r>
    </w:p>
    <w:p>
      <w:pPr>
        <w:pStyle w:val="CaptionedFigure"/>
      </w:pPr>
      <w:bookmarkStart w:id="42" w:name="fig:005"/>
      <w:r>
        <w:drawing>
          <wp:inline>
            <wp:extent cx="5334000" cy="3342454"/>
            <wp:effectExtent b="0" l="0" r="0" t="0"/>
            <wp:docPr descr="Figure 5: Модель для второго случая" title="" id="40" name="Picture"/>
            <a:graphic>
              <a:graphicData uri="http://schemas.openxmlformats.org/drawingml/2006/picture">
                <pic:pic>
                  <pic:nvPicPr>
                    <pic:cNvPr descr="screens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2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5: Модель для второго случая</w:t>
      </w:r>
    </w:p>
    <w:p>
      <w:pPr>
        <w:pStyle w:val="BodyText"/>
      </w:pPr>
      <w:r>
        <w:rPr>
          <w:bCs/>
          <w:b/>
        </w:rPr>
        <w:t xml:space="preserve">3. Изменим программу для третьего случая, заменив значения переменных</w:t>
      </w:r>
      <w:r>
        <w:rPr>
          <w:bCs/>
          <w:b/>
        </w:rP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</m:oMath>
      <w:r>
        <w:rPr>
          <w:bCs/>
          <w:b/>
        </w:rPr>
        <w:t xml:space="preserve"> </w:t>
      </w:r>
      <w:r>
        <w:rPr>
          <w:bCs/>
          <w:b/>
        </w:rPr>
        <w:t xml:space="preserve">и</w:t>
      </w:r>
      <w:r>
        <w:rPr>
          <w:bCs/>
          <w:b/>
        </w:rP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</m:oMath>
      <w:r>
        <w:rPr>
          <w:bCs/>
          <w:b/>
        </w:rPr>
        <w:t xml:space="preserve">.</w:t>
      </w:r>
    </w:p>
    <w:p>
      <w:pPr>
        <w:pStyle w:val="SourceCode"/>
      </w:pPr>
      <w:r>
        <w:rPr>
          <w:rStyle w:val="VerbatimChar"/>
        </w:rPr>
        <w:t xml:space="preserve">Изменим переменные:  </w:t>
      </w:r>
    </w:p>
    <w:p>
      <w:pPr>
        <w:pStyle w:val="CaptionedFigure"/>
      </w:pPr>
      <w:bookmarkStart w:id="46" w:name="fig:006"/>
      <w:r>
        <w:drawing>
          <wp:inline>
            <wp:extent cx="5334000" cy="2868810"/>
            <wp:effectExtent b="0" l="0" r="0" t="0"/>
            <wp:docPr descr="Figure 6: Код программы для второго случая" title="" id="44" name="Picture"/>
            <a:graphic>
              <a:graphicData uri="http://schemas.openxmlformats.org/drawingml/2006/picture">
                <pic:pic>
                  <pic:nvPicPr>
                    <pic:cNvPr descr="screens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8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6: Код программы для второго случая</w:t>
      </w:r>
    </w:p>
    <w:p>
      <w:pPr>
        <w:pStyle w:val="SourceCode"/>
      </w:pPr>
      <w:r>
        <w:rPr>
          <w:rStyle w:val="VerbatimChar"/>
        </w:rPr>
        <w:t xml:space="preserve">Запускаем модель для третьего случая с теми же установками симуляции:  </w:t>
      </w:r>
    </w:p>
    <w:p>
      <w:pPr>
        <w:pStyle w:val="CaptionedFigure"/>
      </w:pPr>
      <w:bookmarkStart w:id="50" w:name="fig:007"/>
      <w:r>
        <w:drawing>
          <wp:inline>
            <wp:extent cx="5334000" cy="3178000"/>
            <wp:effectExtent b="0" l="0" r="0" t="0"/>
            <wp:docPr descr="Figure 7: Модель для третьего случая" title="" id="48" name="Picture"/>
            <a:graphic>
              <a:graphicData uri="http://schemas.openxmlformats.org/drawingml/2006/picture">
                <pic:pic>
                  <pic:nvPicPr>
                    <pic:cNvPr descr="screens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7: Модель для третьего случая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познакомился с моделями эффективности рекламы, релизовал графики для нескольких случаев с разными коэффициентами для интенсивности рекламной кампании и сарафанного радио.</w:t>
      </w:r>
    </w:p>
    <w:bookmarkEnd w:id="52"/>
    <w:bookmarkStart w:id="5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SourceCode"/>
      </w:pPr>
      <w:r>
        <w:rPr>
          <w:rStyle w:val="VerbatimChar"/>
        </w:rPr>
        <w:t xml:space="preserve">1. Кулябов Д.С. Лабораторная работа №7. Эффективность рекламы [Электронный ресурс] - 5 с. </w:t>
      </w:r>
      <w:r>
        <w:br/>
      </w:r>
      <w:r>
        <w:rPr>
          <w:rStyle w:val="VerbatimChar"/>
        </w:rPr>
        <w:t xml:space="preserve">2. Кулябов Д.С. Лабораторная работа №7. Варианты [Электронный ресурс] - 26 с. </w:t>
      </w:r>
    </w:p>
    <w:bookmarkStart w:id="53" w:name="refs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Александр Олегович Воробьев</dc:creator>
  <dc:language>ru-RU</dc:language>
  <cp:keywords/>
  <dcterms:created xsi:type="dcterms:W3CDTF">2022-03-22T15:25:59Z</dcterms:created>
  <dcterms:modified xsi:type="dcterms:W3CDTF">2022-03-22T15:25:59Z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fontsize">
    <vt:lpwstr>12pt</vt:lpwstr>
  </property>
  <property fmtid="{D5CDD505-2E9C-101B-9397-08002B2CF9AE}" pid="27" name="header-includes">
    <vt:lpwstr/>
  </property>
  <property fmtid="{D5CDD505-2E9C-101B-9397-08002B2CF9AE}" pid="28" name="indent">
    <vt:lpwstr>True</vt:lpwstr>
  </property>
  <property fmtid="{D5CDD505-2E9C-101B-9397-08002B2CF9AE}" pid="29" name="lastDelim">
    <vt:lpwstr>, </vt:lpwstr>
  </property>
  <property fmtid="{D5CDD505-2E9C-101B-9397-08002B2CF9AE}" pid="30" name="linestretch">
    <vt:lpwstr>1.5</vt:lpwstr>
  </property>
  <property fmtid="{D5CDD505-2E9C-101B-9397-08002B2CF9AE}" pid="31" name="linkReferences">
    <vt:lpwstr>False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">
    <vt:lpwstr>True</vt:lpwstr>
  </property>
  <property fmtid="{D5CDD505-2E9C-101B-9397-08002B2CF9AE}" pid="36" name="lofTitle">
    <vt:lpwstr>List of Figures</vt:lpwstr>
  </property>
  <property fmtid="{D5CDD505-2E9C-101B-9397-08002B2CF9AE}" pid="37" name="lolTitle">
    <vt:lpwstr>List of Listings</vt:lpwstr>
  </property>
  <property fmtid="{D5CDD505-2E9C-101B-9397-08002B2CF9AE}" pid="38" name="lot">
    <vt:lpwstr>True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Вариант 39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