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PIEpapertitle"/>
        <w:jc w:val="center"/>
      </w:pPr>
      <w:r>
        <w:rPr>
          <w:rFonts w:ascii="Times New Roman" w:hAnsi="Times New Roman" w:eastAsia="Times New Roman"/>
          <w:b/>
          <w:sz w:val="32"/>
        </w:rPr>
        <w:t>SynGS: Synergizing explicit geometry and transformer depth priors for sparse-view 3D Gaussian Splatting</w:t>
      </w:r>
    </w:p>
    <w:p>
      <w:pPr>
        <w:pStyle w:val="SPIEAuthors-Affils"/>
        <w:jc w:val="center"/>
      </w:pPr>
      <w:r>
        <w:rPr>
          <w:rFonts w:ascii="Times New Roman" w:hAnsi="Times New Roman" w:eastAsia="Times New Roman"/>
          <w:sz w:val="24"/>
        </w:rPr>
        <w:t>Junjie Geng*</w:t>
      </w:r>
      <w:r>
        <w:rPr>
          <w:rFonts w:ascii="Times New Roman" w:hAnsi="Times New Roman" w:eastAsia="Times New Roman"/>
          <w:sz w:val="24"/>
          <w:vertAlign w:val="superscript"/>
        </w:rPr>
        <w:t>a</w:t>
      </w:r>
      <w:r>
        <w:rPr>
          <w:rFonts w:ascii="Times New Roman" w:hAnsi="Times New Roman" w:eastAsia="Times New Roman"/>
          <w:sz w:val="24"/>
        </w:rPr>
        <w:t>, Ao Zhang</w:t>
      </w:r>
      <w:r>
        <w:rPr>
          <w:rFonts w:ascii="Times New Roman" w:hAnsi="Times New Roman" w:eastAsia="Times New Roman"/>
          <w:sz w:val="24"/>
          <w:vertAlign w:val="superscript"/>
        </w:rPr>
        <w:t>a</w:t>
      </w:r>
      <w:r>
        <w:rPr>
          <w:rFonts w:ascii="Times New Roman" w:hAnsi="Times New Roman" w:eastAsia="Times New Roman"/>
          <w:sz w:val="24"/>
        </w:rPr>
        <w:t>, Bo Zhang</w:t>
      </w:r>
      <w:r>
        <w:rPr>
          <w:rFonts w:ascii="Times New Roman" w:hAnsi="Times New Roman" w:eastAsia="Times New Roman"/>
          <w:sz w:val="24"/>
          <w:vertAlign w:val="superscript"/>
        </w:rPr>
        <w:t>a</w:t>
      </w:r>
      <w:r>
        <w:rPr>
          <w:rFonts w:ascii="Times New Roman" w:hAnsi="Times New Roman" w:eastAsia="Times New Roman"/>
          <w:sz w:val="24"/>
        </w:rPr>
        <w:t>, and Lian Duan</w:t>
      </w:r>
      <w:r>
        <w:rPr>
          <w:rFonts w:ascii="Times New Roman" w:hAnsi="Times New Roman" w:eastAsia="Times New Roman"/>
          <w:sz w:val="24"/>
          <w:vertAlign w:val="superscript"/>
        </w:rPr>
        <w:t>a</w:t>
      </w:r>
    </w:p>
    <w:p>
      <w:pPr>
        <w:pStyle w:val="SPIEAuthors-Affils"/>
        <w:jc w:val="center"/>
      </w:pPr>
      <w:r>
        <w:rPr>
          <w:rFonts w:ascii="Times New Roman" w:hAnsi="Times New Roman" w:eastAsia="Times New Roman"/>
          <w:sz w:val="20"/>
          <w:vertAlign w:val="superscript"/>
        </w:rPr>
        <w:t>a</w:t>
      </w:r>
      <w:r>
        <w:rPr>
          <w:rFonts w:ascii="Times New Roman" w:hAnsi="Times New Roman" w:eastAsia="Times New Roman"/>
          <w:sz w:val="20"/>
        </w:rPr>
        <w:t>Communication University of China, State Key Laboratory of Media Convergence and Communication, Intelligent Network and Media Research Center, No. 1 Dingfuzhuang East Street, Chaoyang District, Beijing 100024, China</w:t>
      </w:r>
    </w:p>
    <w:p>
      <w:pPr>
        <w:pStyle w:val="SPIEbodytext"/>
        <w:jc w:val="center"/>
      </w:pPr>
      <w:r>
        <w:rPr>
          <w:rFonts w:ascii="Times New Roman" w:hAnsi="Times New Roman" w:eastAsia="Times New Roman"/>
          <w:sz w:val="20"/>
        </w:rPr>
        <w:t>*J.G.: E-mail: gjj@cuc.edu.cn</w:t>
      </w:r>
    </w:p>
    <w:p>
      <w:pPr>
        <w:pStyle w:val="SPIEbodytext"/>
        <w:jc w:val="center"/>
      </w:pPr>
      <w:r>
        <w:rPr>
          <w:rFonts w:ascii="Times New Roman" w:hAnsi="Times New Roman" w:eastAsia="Times New Roman"/>
          <w:sz w:val="20"/>
        </w:rPr>
        <w:t>A.Z.: E-mail: 2212433186@qq.com</w:t>
      </w:r>
    </w:p>
    <w:p>
      <w:pPr>
        <w:pStyle w:val="SPIEabstracttitle"/>
        <w:jc w:val="center"/>
      </w:pPr>
      <w:r>
        <w:rPr>
          <w:rFonts w:ascii="Times New Roman" w:hAnsi="Times New Roman" w:eastAsia="Times New Roman"/>
          <w:b/>
          <w:sz w:val="22"/>
        </w:rPr>
        <w:t>Abstract</w:t>
      </w:r>
    </w:p>
    <w:p>
      <w:pPr>
        <w:pStyle w:val="SPIEabstractbodytext"/>
        <w:jc w:val="both"/>
      </w:pPr>
      <w:r>
        <w:rPr>
          <w:rFonts w:ascii="Times New Roman" w:hAnsi="Times New Roman" w:eastAsia="Times New Roman"/>
          <w:sz w:val="20"/>
        </w:rPr>
        <w:t>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On Mip-NeRF 360, SynGS demonstrates consistent improvements in PSNR and SSIM across the evaluated sparse-view settings, with gains of 3.56 dB in PSNR and 0.025 in SSIM over a leading baseline using only four input views. On LLFF, the improvements are more pronounced in the four- and six-view settings, while the nine-view results remain comparable to those of leading existing methods.</w:t>
      </w:r>
    </w:p>
    <w:p>
      <w:pPr>
        <w:pStyle w:val="SPIEkeywords"/>
      </w:pPr>
      <w:r>
        <w:rPr>
          <w:rFonts w:ascii="Times New Roman" w:hAnsi="Times New Roman" w:eastAsia="Times New Roman"/>
          <w:sz w:val="20"/>
        </w:rPr>
        <w:t>Keywords: Novel View Synthesis, 3D Gaussian Splatting, Few-shot reconstruction, Geometry Prior-Guided Reconstruction, Vision Transformer</w:t>
      </w:r>
    </w:p>
    <w:p>
      <w:pPr>
        <w:pStyle w:val="1"/>
      </w:pPr>
      <w:r>
        <w:rPr>
          <w:rFonts w:ascii="Times New Roman" w:hAnsi="Times New Roman" w:eastAsia="Times New Roman"/>
          <w:b/>
          <w:sz w:val="22"/>
        </w:rPr>
        <w:t xml:space="preserve">INTRODUCTION</w:t>
      </w:r>
    </w:p>
    <w:p>
      <w:pPr>
        <w:pStyle w:val="SPIEbodytext"/>
        <w:jc w:val="both"/>
      </w:pPr>
      <w:r>
        <w:rPr>
          <w:rFonts w:ascii="Times New Roman" w:hAnsi="Times New Roman" w:eastAsia="Times New Roman"/>
          <w:sz w:val="20"/>
        </w:rPr>
        <w:t xml:space="preserve">Sparse inputs provide limited information about visible regions, causing 3D reconstruction methods to overfit local observations and struggle to maintain global geometric consistency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w:t>
      </w:r>
      <w:r>
        <w:rPr>
          <w:rFonts w:ascii="Times New Roman" w:hAnsi="Times New Roman" w:eastAsia="Times New Roman"/>
          <w:sz w:val="20"/>
        </w:rPr>
        <w:t xml:space="preserve">. Sparse observations also introduce greater geometric ambiguity, making occluded regions, textureless areas, and view boundaries prone to missing geometry, structural distortions, and degraded appearance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w:t>
      </w:r>
      <w:r>
        <w:rPr>
          <w:rFonts w:ascii="Times New Roman" w:hAnsi="Times New Roman" w:eastAsia="Times New Roman"/>
          <w:sz w:val="20"/>
        </w:rPr>
        <w:t xml:space="preserve">. Kerbl et al.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w:t>
      </w:r>
      <w:r>
        <w:rPr>
          <w:rFonts w:ascii="Times New Roman" w:hAnsi="Times New Roman" w:eastAsia="Times New Roman"/>
          <w:sz w:val="20"/>
        </w:rPr>
        <w:t xml:space="preserve">introduced 3D Gaussian Splatting (3DGS); with tiled rasterization it enables rapid training and real-time rendering, and subsequent variants improve structured, alias-free rendering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[4,5]</w:t>
      </w:r>
      <w:r>
        <w:rPr>
          <w:rFonts w:ascii="Times New Roman" w:hAnsi="Times New Roman" w:eastAsia="Times New Roman"/>
          <w:sz w:val="20"/>
        </w:rPr>
        <w:t xml:space="preserve">. Under sparse views, Structure-from-Motion (SfM)</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[6]</w:t>
      </w:r>
      <w:r>
        <w:rPr>
          <w:rFonts w:ascii="Times New Roman" w:hAnsi="Times New Roman" w:eastAsia="Times New Roman"/>
          <w:sz w:val="20"/>
        </w:rPr>
        <w:t xml:space="preserve"> </w:t>
      </w:r>
      <w:r>
        <w:rPr>
          <w:rFonts w:ascii="Times New Roman" w:hAnsi="Times New Roman" w:eastAsia="Times New Roman"/>
          <w:sz w:val="20"/>
        </w:rPr>
        <w:t xml:space="preserve">often recovers incomplete point clouds. Since 3DGS relies on SfM cameras and sparse points for initialization, weak coverage harms geometric convergence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[7]</w:t>
      </w:r>
      <w:r>
        <w:rPr>
          <w:rFonts w:ascii="Times New Roman" w:hAnsi="Times New Roman" w:eastAsia="Times New Roman"/>
          <w:sz w:val="20"/>
        </w:rPr>
        <w:t xml:space="preserve">. Limited cross-view constraints further cause floaters and pseudo-geometry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[8]</w:t>
      </w:r>
      <w:r>
        <w:rPr>
          <w:rFonts w:ascii="Times New Roman" w:hAnsi="Times New Roman" w:eastAsia="Times New Roman"/>
          <w:sz w:val="20"/>
        </w:rPr>
        <w:t xml:space="preserve">, while sparse supervision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w:t>
      </w:r>
      <w:r>
        <w:rPr>
          <w:rFonts w:ascii="Times New Roman" w:hAnsi="Times New Roman" w:eastAsia="Times New Roman"/>
          <w:sz w:val="20"/>
        </w:rPr>
        <w:t xml:space="preserve">and visibility imbalance aggravate overfitting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[10]</w:t>
      </w:r>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Existing sparse-view methods have explored depth regularization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[11]</w:t>
      </w:r>
      <w:r>
        <w:rPr>
          <w:rFonts w:ascii="Times New Roman" w:hAnsi="Times New Roman" w:eastAsia="Times New Roman"/>
          <w:sz w:val="20"/>
        </w:rPr>
        <w:t xml:space="preserve">, Gaussian densification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[12]</w:t>
      </w:r>
      <w:r>
        <w:rPr>
          <w:rFonts w:ascii="Times New Roman" w:hAnsi="Times New Roman" w:eastAsia="Times New Roman"/>
          <w:sz w:val="20"/>
        </w:rPr>
        <w:t xml:space="preserve">, co-regularization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[13]</w:t>
      </w:r>
      <w:r>
        <w:rPr>
          <w:rFonts w:ascii="Times New Roman" w:hAnsi="Times New Roman" w:eastAsia="Times New Roman"/>
          <w:sz w:val="20"/>
        </w:rPr>
        <w:t xml:space="preserve">, and Gaussian dropout</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w:t>
      </w:r>
      <w:r>
        <w:rPr>
          <w:rFonts w:ascii="Times New Roman" w:hAnsi="Times New Roman" w:eastAsia="Times New Roman"/>
          <w:sz w:val="20"/>
        </w:rPr>
        <w:t xml:space="preserve">to improve reconstruction. Nevertheless, incomplete initial geometry and overfitting during optimization remain challenges when only a few observations are available. To address these issues, we propose SynGS, a sparse-view 3DGS framework that combines geometry-guided Gaussian initialization with training-time regularization. By strengthening initial geometric support and mitigating overfitting during optimization, SynGS improves reconstruction robustness under severely limited view coverage. The main contributions are:</w:t>
      </w:r>
    </w:p>
    <w:p>
      <w:pPr>
        <w:pStyle w:val="SPIEbodytext"/>
        <w:numPr>
          <w:ilvl w:val="0"/>
          <w:numId w:val="1001"/>
        </w:numPr>
        <w:jc w:val="both"/>
      </w:pPr>
      <w:r>
        <w:rPr>
          <w:rFonts w:ascii="Times New Roman" w:hAnsi="Times New Roman" w:eastAsia="Times New Roman"/>
          <w:b/>
          <w:bCs/>
          <w:sz w:val="20"/>
        </w:rPr>
        <w:t xml:space="preserve">Visual Hull Initialization.</w:t>
      </w:r>
      <w:r>
        <w:rPr>
          <w:rFonts w:ascii="Times New Roman" w:hAnsi="Times New Roman" w:eastAsia="Times New Roman"/>
          <w:sz w:val="20"/>
        </w:rPr>
        <w:t xml:space="preserve"> </w:t>
      </w:r>
      <w:r>
        <w:rPr>
          <w:rFonts w:ascii="Times New Roman" w:hAnsi="Times New Roman" w:eastAsia="Times New Roman"/>
          <w:sz w:val="20"/>
        </w:rPr>
        <w:t xml:space="preserve">We incorporate a visual hull derived from multi-view silhouettes to provide an explicit geometric constraint for Gaussian initialization. This constraint complements incomplete SfM observations and helps establish a more reliable initial spatial distribution of Gaussian primitives.</w:t>
      </w:r>
    </w:p>
    <w:p>
      <w:pPr>
        <w:pStyle w:val="SPIEbodytext"/>
        <w:numPr>
          <w:ilvl w:val="0"/>
          <w:numId w:val="1001"/>
        </w:numPr>
        <w:jc w:val="both"/>
      </w:pPr>
      <w:r>
        <w:rPr>
          <w:rFonts w:ascii="Times New Roman" w:hAnsi="Times New Roman" w:eastAsia="Times New Roman"/>
          <w:b/>
          <w:bCs/>
          <w:sz w:val="20"/>
        </w:rPr>
        <w:t xml:space="preserve">VGGT-Guided Densification.</w:t>
      </w:r>
      <w:r>
        <w:rPr>
          <w:rFonts w:ascii="Times New Roman" w:hAnsi="Times New Roman" w:eastAsia="Times New Roman"/>
          <w:sz w:val="20"/>
        </w:rPr>
        <w:t xml:space="preserve"> </w:t>
      </w:r>
      <w:r>
        <w:rPr>
          <w:rFonts w:ascii="Times New Roman" w:hAnsi="Times New Roman" w:eastAsia="Times New Roman"/>
          <w:sz w:val="20"/>
        </w:rPr>
        <w:t xml:space="preserve">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w:t>
      </w:r>
    </w:p>
    <w:p>
      <w:pPr>
        <w:pStyle w:val="SPIEbodytext"/>
        <w:numPr>
          <w:ilvl w:val="0"/>
          <w:numId w:val="1001"/>
        </w:numPr>
        <w:jc w:val="both"/>
      </w:pPr>
      <w:r>
        <w:rPr>
          <w:rFonts w:ascii="Times New Roman" w:hAnsi="Times New Roman" w:eastAsia="Times New Roman"/>
          <w:b/>
          <w:bCs/>
          <w:sz w:val="20"/>
        </w:rPr>
        <w:t xml:space="preserve">Dynamic Visibility Regularization.</w:t>
      </w:r>
      <w:r>
        <w:rPr>
          <w:rFonts w:ascii="Times New Roman" w:hAnsi="Times New Roman" w:eastAsia="Times New Roman"/>
          <w:sz w:val="20"/>
        </w:rPr>
        <w:t xml:space="preserve"> </w:t>
      </w:r>
      <w:r>
        <w:rPr>
          <w:rFonts w:ascii="Times New Roman" w:hAnsi="Times New Roman" w:eastAsia="Times New Roman"/>
          <w:sz w:val="20"/>
        </w:rPr>
        <w:t xml:space="preserve">We incorporate Dynamic Visibility Regularization during training to stochastically mask Gaussian primitives, redistribute optimization gradients, and mitigate overfitting under limited-view supervision. This regularization complements the geometry-enhanced initialization to improve the robustness of sparse-view reconstruction.</w:t>
      </w:r>
    </w:p>
    <w:bookmarkEnd w:id="32"/>
    <w:bookmarkStart w:id="33" w:name="_c402fc6a47ec8bb5e751ab4b29e0fc7601a51bb"/>
    <w:p>
      <w:pPr>
        <w:pStyle w:val="1"/>
      </w:pPr>
      <w:r>
        <w:rPr>
          <w:rFonts w:ascii="Times New Roman" w:hAnsi="Times New Roman" w:eastAsia="Times New Roman"/>
          <w:b/>
          <w:sz w:val="22"/>
        </w:rPr>
        <w:t xml:space="preserve">RELATED WORK</w:t>
      </w:r>
    </w:p>
    <w:p>
      <w:pPr>
        <w:pStyle w:val="SPIEbodytext"/>
        <w:jc w:val="both"/>
      </w:pPr>
      <w:r>
        <w:rPr>
          <w:rFonts w:ascii="Times New Roman" w:hAnsi="Times New Roman" w:eastAsia="Times New Roman"/>
          <w:sz w:val="20"/>
        </w:rPr>
        <w:t xml:space="preserve">Neural Radiance Fields (NeRF) represent scenes as implicit radiance fields and achieve high-quality novel view synthesis through differentiable rendering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[14]</w:t>
      </w:r>
      <w:r>
        <w:rPr>
          <w:rFonts w:ascii="Times New Roman" w:hAnsi="Times New Roman" w:eastAsia="Times New Roman"/>
          <w:sz w:val="20"/>
        </w:rPr>
        <w:t xml:space="preserve">. Under sparse views, however, insufficient observations cause severe geometric ambiguity. Depth-guided approaches further improve structural consistency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[15,16]</w:t>
      </w:r>
      <w:r>
        <w:rPr>
          <w:rFonts w:ascii="Times New Roman" w:hAnsi="Times New Roman" w:eastAsia="Times New Roman"/>
          <w:sz w:val="20"/>
        </w:rPr>
        <w:t xml:space="preserve">, while other methods constrain unobserved regions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w:t>
      </w:r>
      <w:r>
        <w:rPr>
          <w:rFonts w:ascii="Times New Roman" w:hAnsi="Times New Roman" w:eastAsia="Times New Roman"/>
          <w:sz w:val="20"/>
        </w:rPr>
        <w:t xml:space="preserve">, jointly refine noisy poses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[17]</w:t>
      </w:r>
      <w:r>
        <w:rPr>
          <w:rFonts w:ascii="Times New Roman" w:hAnsi="Times New Roman" w:eastAsia="Times New Roman"/>
          <w:sz w:val="20"/>
        </w:rPr>
        <w:t xml:space="preserve">, or leverage diffusion priors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[18]</w:t>
      </w:r>
      <w:r>
        <w:rPr>
          <w:rFonts w:ascii="Times New Roman" w:hAnsi="Times New Roman" w:eastAsia="Times New Roman"/>
          <w:sz w:val="20"/>
        </w:rPr>
        <w:t xml:space="preserve">. Grid-based anti-aliased variants such as Zip-NeRF further improve efficiency and rendering fidelity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[19]</w:t>
      </w:r>
      <w:r>
        <w:rPr>
          <w:rFonts w:ascii="Times New Roman" w:hAnsi="Times New Roman" w:eastAsia="Times New Roman"/>
          <w:sz w:val="20"/>
        </w:rPr>
        <w:t xml:space="preserve">, and baked neural surfaces enable real-time mesh-based view synthesis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[20]</w:t>
      </w:r>
      <w:r>
        <w:rPr>
          <w:rFonts w:ascii="Times New Roman" w:hAnsi="Times New Roman" w:eastAsia="Times New Roman"/>
          <w:sz w:val="20"/>
        </w:rPr>
        <w:t xml:space="preserve">. 3D Gaussian Splatting (3DGS) introduces an explicit scene representation based on optimizable Gaussian primitives and enables efficient training and real-time rendering through differentiable rasterization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Beyond the original formulation, structured and anti-aliased Gaussian representations improve robustness and multi-scale rendering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[4,5]</w:t>
      </w:r>
      <w:r>
        <w:rPr>
          <w:rFonts w:ascii="Times New Roman" w:hAnsi="Times New Roman" w:eastAsia="Times New Roman"/>
          <w:sz w:val="20"/>
        </w:rPr>
        <w:t xml:space="preserve">, while surface-aligned variants target more accurate geometry recovery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[21,22]</w:t>
      </w:r>
      <w:r>
        <w:rPr>
          <w:rFonts w:ascii="Times New Roman" w:hAnsi="Times New Roman" w:eastAsia="Times New Roman"/>
          <w:sz w:val="20"/>
        </w:rPr>
        <w:t xml:space="preserve">. Depth-based approaches introduce additional geometric supervision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[11]</w:t>
      </w:r>
      <w:r>
        <w:rPr>
          <w:rFonts w:ascii="Times New Roman" w:hAnsi="Times New Roman" w:eastAsia="Times New Roman"/>
          <w:sz w:val="20"/>
        </w:rPr>
        <w:t xml:space="preserve">, while densification-based methods improve Gaussian coverage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[12,23]</w:t>
      </w:r>
      <w:r>
        <w:rPr>
          <w:rFonts w:ascii="Times New Roman" w:hAnsi="Times New Roman" w:eastAsia="Times New Roman"/>
          <w:sz w:val="20"/>
        </w:rPr>
        <w:t xml:space="preserve">. Other strategies include progressive geometric propagation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[24]</w:t>
      </w:r>
      <w:r>
        <w:rPr>
          <w:rFonts w:ascii="Times New Roman" w:hAnsi="Times New Roman" w:eastAsia="Times New Roman"/>
          <w:sz w:val="20"/>
        </w:rPr>
        <w:t xml:space="preserve">, gradient-aware density control</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[25]</w:t>
      </w:r>
      <w:r>
        <w:rPr>
          <w:rFonts w:ascii="Times New Roman" w:hAnsi="Times New Roman" w:eastAsia="Times New Roman"/>
          <w:sz w:val="20"/>
        </w:rPr>
        <w:t xml:space="preserve">, and epipolar depth priors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[26]</w:t>
      </w:r>
      <w:r>
        <w:rPr>
          <w:rFonts w:ascii="Times New Roman" w:hAnsi="Times New Roman" w:eastAsia="Times New Roman"/>
          <w:sz w:val="20"/>
        </w:rPr>
        <w:t xml:space="preserve">. Others explore alternating densification under sparse inputs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[27]</w:t>
      </w:r>
      <w:r>
        <w:rPr>
          <w:rFonts w:ascii="Times New Roman" w:hAnsi="Times New Roman" w:eastAsia="Times New Roman"/>
          <w:sz w:val="20"/>
        </w:rPr>
        <w:t xml:space="preserve">, score distillation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[28]</w:t>
      </w:r>
      <w:r>
        <w:rPr>
          <w:rFonts w:ascii="Times New Roman" w:hAnsi="Times New Roman" w:eastAsia="Times New Roman"/>
          <w:sz w:val="20"/>
        </w:rPr>
        <w:t xml:space="preserve">, co-regularization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[13]</w:t>
      </w:r>
      <w:r>
        <w:rPr>
          <w:rFonts w:ascii="Times New Roman" w:hAnsi="Times New Roman" w:eastAsia="Times New Roman"/>
          <w:sz w:val="20"/>
        </w:rPr>
        <w:t xml:space="preserve">, and Gaussian dropout</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[9,29]</w:t>
      </w:r>
      <w:r>
        <w:rPr>
          <w:rFonts w:ascii="Times New Roman" w:hAnsi="Times New Roman" w:eastAsia="Times New Roman"/>
          <w:sz w:val="20"/>
        </w:rPr>
        <w:t xml:space="preserve">. Pose-free and feed-forward sparse Gaussian reconstruction has also been studied</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[30,31,32,33]</w:t>
      </w:r>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Classical multi-view stereo remains a strong geometric backbone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[34]</w:t>
      </w:r>
      <w:r>
        <w:rPr>
          <w:rFonts w:ascii="Times New Roman" w:hAnsi="Times New Roman" w:eastAsia="Times New Roman"/>
          <w:sz w:val="20"/>
        </w:rPr>
        <w:t xml:space="preserve">. Monocular depth estimators provide useful cues for underconstrained views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[35]</w:t>
      </w:r>
      <w:r>
        <w:rPr>
          <w:rFonts w:ascii="Times New Roman" w:hAnsi="Times New Roman" w:eastAsia="Times New Roman"/>
          <w:sz w:val="20"/>
        </w:rPr>
        <w:t xml:space="preserve">, and recent monocular geometry models further recover metric structure from a single image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[36]</w:t>
      </w:r>
      <w:r>
        <w:rPr>
          <w:rFonts w:ascii="Times New Roman" w:hAnsi="Times New Roman" w:eastAsia="Times New Roman"/>
          <w:sz w:val="20"/>
        </w:rPr>
        <w:t xml:space="preserve">. 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[37]</w:t>
      </w:r>
      <w:r>
        <w:rPr>
          <w:rFonts w:ascii="Times New Roman" w:hAnsi="Times New Roman" w:eastAsia="Times New Roman"/>
          <w:sz w:val="20"/>
        </w:rPr>
        <w:t xml:space="preserve"> </w:t>
      </w:r>
      <w:r>
        <w:rPr>
          <w:rFonts w:ascii="Times New Roman" w:hAnsi="Times New Roman" w:eastAsia="Times New Roman"/>
          <w:sz w:val="20"/>
        </w:rPr>
        <w:t xml:space="preserve">to augment the initial Gaussian geometry before optimization, and incorporates Dynamic Visibility Regularization during training to alleviate sparse-view overfitting.</w:t>
      </w:r>
    </w:p>
    <w:bookmarkEnd w:id="33"/>
    <w:bookmarkStart w:id="44" w:name="_method"/>
    <w:p>
      <w:pPr>
        <w:pStyle w:val="1"/>
      </w:pPr>
      <w:r>
        <w:rPr>
          <w:rFonts w:ascii="Times New Roman" w:hAnsi="Times New Roman" w:eastAsia="Times New Roman"/>
          <w:b/>
          <w:sz w:val="22"/>
        </w:rPr>
        <w:t xml:space="preserve">METHOD</w:t>
      </w:r>
    </w:p>
    <w:bookmarkStart w:id="37" w:name="_c9c4aed55d8fffb9d98412859f7f6d1af8cfd6d"/>
    <w:p>
      <w:pPr>
        <w:pStyle w:val="2"/>
        <w:numPr>
          <w:ilvl w:val="1"/>
          <w:numId w:val="3"/>
        </w:numPr>
      </w:pPr>
      <w:r>
        <w:rPr>
          <w:rFonts w:ascii="Times New Roman" w:hAnsi="Times New Roman" w:eastAsia="Times New Roman"/>
          <w:b/>
          <w:sz w:val="20"/>
        </w:rPr>
        <w:t xml:space="preserve">Overall Framework</w:t>
      </w:r>
    </w:p>
    <w:p>
      <w:pPr>
        <w:pStyle w:val="SPIEbodytext"/>
        <w:jc w:val="both"/>
      </w:pPr>
      <w:r>
        <w:rPr>
          <w:rFonts w:ascii="Times New Roman" w:hAnsi="Times New Roman" w:eastAsia="Times New Roman"/>
          <w:sz w:val="20"/>
        </w:rPr>
        <w:t xml:space="preserve">We propose SynGS, a sparse-view 3D Gaussian Splatting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w:t>
      </w:r>
      <w:r>
        <w:rPr>
          <w:rFonts w:ascii="Times New Roman" w:hAnsi="Times New Roman" w:eastAsia="Times New Roman"/>
          <w:sz w:val="20"/>
        </w:rP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[4,38]</w:t>
      </w:r>
      <w:r>
        <w:rPr>
          <w:rFonts w:ascii="Times New Roman" w:hAnsi="Times New Roman" w:eastAsia="Times New Roman"/>
          <w:sz w:val="20"/>
        </w:rPr>
        <w:t xml:space="preserve">, SynGS focuses on silhouette-based initialization and depth-guided densification under sparse posed inputs.</w:t>
      </w:r>
    </w:p>
    <w:p>
      <w:pPr>
        <w:pStyle w:val="SPIEbodytext"/>
        <w:jc w:val="both"/>
      </w:pPr>
      <w:r>
        <w:rPr>
          <w:rFonts w:ascii="Times New Roman" w:hAnsi="Times New Roman" w:eastAsia="Times New Roman"/>
          <w:sz w:val="20"/>
        </w:rPr>
        <w:t xml:space="preserve">First,</w:t>
      </w:r>
      <w:r>
        <w:rPr>
          <w:rFonts w:ascii="Times New Roman" w:hAnsi="Times New Roman" w:eastAsia="Times New Roman"/>
          <w:sz w:val="20"/>
        </w:rPr>
        <w:t xml:space="preserve"> </w:t>
      </w:r>
      <w:r>
        <w:rPr>
          <w:rFonts w:ascii="Times New Roman" w:hAnsi="Times New Roman" w:eastAsia="Times New Roman"/>
          <w:b/>
          <w:bCs/>
          <w:sz w:val="20"/>
        </w:rPr>
        <w:t xml:space="preserve">Visual Hull Initialization</w:t>
      </w:r>
      <w:r>
        <w:rPr>
          <w:rFonts w:ascii="Times New Roman" w:hAnsi="Times New Roman" w:eastAsia="Times New Roman"/>
          <w:sz w:val="20"/>
        </w:rPr>
        <w:t xml:space="preserve"> </w:t>
      </w:r>
      <w:r>
        <w:rPr>
          <w:rFonts w:ascii="Times New Roman" w:hAnsi="Times New Roman" w:eastAsia="Times New Roman"/>
          <w:sz w:val="20"/>
        </w:rPr>
        <w:t xml:space="preserve">constructs a coarse geometric prior from multi-view silhouettes and generates an initial point cloud. Then,</w:t>
      </w:r>
      <w:r>
        <w:rPr>
          <w:rFonts w:ascii="Times New Roman" w:hAnsi="Times New Roman" w:eastAsia="Times New Roman"/>
          <w:sz w:val="20"/>
        </w:rPr>
        <w:t xml:space="preserve"> </w:t>
      </w:r>
      <w:r>
        <w:rPr>
          <w:rFonts w:ascii="Times New Roman" w:hAnsi="Times New Roman" w:eastAsia="Times New Roman"/>
          <w:b/>
          <w:bCs/>
          <w:sz w:val="20"/>
        </w:rPr>
        <w:t xml:space="preserve">VGGT-Guided Densification</w:t>
      </w:r>
      <w:r>
        <w:rPr>
          <w:rFonts w:ascii="Times New Roman" w:hAnsi="Times New Roman" w:eastAsia="Times New Roman"/>
          <w:sz w:val="20"/>
        </w:rPr>
        <w:t xml:space="preserve"> </w:t>
      </w:r>
      <w:r>
        <w:rPr>
          <w:rFonts w:ascii="Times New Roman" w:hAnsi="Times New Roman" w:eastAsia="Times New Roman"/>
          <w:sz w:val="20"/>
        </w:rPr>
        <w:t xml:space="preserve">exploits cross-view depth priors to supplement missing geometry and produce a depth-enhanced point cloud for Gaussian initialization. Finally,</w:t>
      </w:r>
      <w:r>
        <w:rPr>
          <w:rFonts w:ascii="Times New Roman" w:hAnsi="Times New Roman" w:eastAsia="Times New Roman"/>
          <w:sz w:val="20"/>
        </w:rPr>
        <w:t xml:space="preserve"> </w:t>
      </w:r>
      <w:r>
        <w:rPr>
          <w:rFonts w:ascii="Times New Roman" w:hAnsi="Times New Roman" w:eastAsia="Times New Roman"/>
          <w:b/>
          <w:bCs/>
          <w:sz w:val="20"/>
        </w:rPr>
        <w:t xml:space="preserve">Dynamic Visibility Regularization (DVR)</w:t>
      </w:r>
      <w:r>
        <w:rPr>
          <w:rFonts w:ascii="Times New Roman" w:hAnsi="Times New Roman" w:eastAsia="Times New Roman"/>
          <w:sz w:val="20"/>
        </w:rPr>
        <w:t xml:space="preserve"> </w:t>
      </w:r>
      <w:r>
        <w:rPr>
          <w:rFonts w:ascii="Times New Roman" w:hAnsi="Times New Roman" w:eastAsia="Times New Roman"/>
          <w:sz w:val="20"/>
        </w:rP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SPIEbodytext"/>
        <w:jc w:val="center"/>
      </w:pPr>
      <w:r>
        <w:rPr>
          <w:rFonts w:ascii="Times New Roman" w:hAnsi="Times New Roman" w:eastAsia="Times New Roman"/>
          <w:sz w:val="20"/>
        </w:rPr>
        <w:drawing>
          <wp:inline>
            <wp:extent cx="59400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5940000" cy="345507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1. Overview of the SynGS pipeline. The third stage applies Dynamic Visibility Regularization (DVR).</w:t>
      </w:r>
    </w:p>
    <w:bookmarkEnd w:id="37"/>
    <w:bookmarkStart w:id="38" w:name="_daea87cd2d6f503dc19a78ce6b15a87a34daa80"/>
    <w:p>
      <w:pPr>
        <w:pStyle w:val="2"/>
        <w:numPr>
          <w:ilvl w:val="1"/>
          <w:numId w:val="3"/>
        </w:numPr>
      </w:pPr>
      <w:r>
        <w:rPr>
          <w:rFonts w:ascii="Times New Roman" w:hAnsi="Times New Roman" w:eastAsia="Times New Roman"/>
          <w:b/>
          <w:sz w:val="20"/>
        </w:rPr>
        <w:t xml:space="preserve">Visual Hull Initialization</w:t>
      </w:r>
    </w:p>
    <w:p>
      <w:pPr>
        <w:pStyle w:val="SPIEbodytext"/>
        <w:jc w:val="both"/>
      </w:pPr>
      <w:r>
        <w:rPr>
          <w:rFonts w:ascii="Times New Roman" w:hAnsi="Times New Roman" w:eastAsia="Times New Roman"/>
          <w:sz w:val="20"/>
        </w:rPr>
        <w:t xml:space="preserve">Under sparse views, Structure-from-Motion (SfM)</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[6]</w:t>
      </w:r>
      <w:r>
        <w:rPr>
          <w:rFonts w:ascii="Times New Roman" w:hAnsi="Times New Roman" w:eastAsia="Times New Roman"/>
          <w:sz w:val="20"/>
        </w:rPr>
        <w:t xml:space="preserve"> </w:t>
      </w:r>
      <w:r>
        <w:rPr>
          <w:rFonts w:ascii="Times New Roman" w:hAnsi="Times New Roman" w:eastAsia="Times New Roman"/>
          <w:sz w:val="20"/>
        </w:rP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[39]</w:t>
      </w:r>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numPr>
          <w:ilvl w:val="1"/>
          <w:numId w:val="3"/>
        </w:numPr>
      </w:pPr>
      <w:r>
        <w:rPr>
          <w:rFonts w:ascii="Times New Roman" w:hAnsi="Times New Roman" w:eastAsia="Times New Roman"/>
          <w:b/>
          <w:sz w:val="20"/>
        </w:rPr>
        <w:t xml:space="preserve">VGGT-Guided Densification</w:t>
      </w:r>
    </w:p>
    <w:p>
      <w:pPr>
        <w:pStyle w:val="SPIEbodytext"/>
        <w:jc w:val="both"/>
      </w:pPr>
      <w:r>
        <w:rPr>
          <w:rFonts w:ascii="Times New Roman" w:hAnsi="Times New Roman" w:eastAsia="Times New Roman"/>
          <w:sz w:val="20"/>
        </w:rPr>
        <w:t xml:space="preserve">Silhouettes alone miss concave regions and fine structures. We densify the Visual Hull point cloud with</w:t>
      </w:r>
      <w:r>
        <w:rPr>
          <w:rFonts w:ascii="Times New Roman" w:hAnsi="Times New Roman" w:eastAsia="Times New Roman"/>
          <w:sz w:val="20"/>
        </w:rPr>
        <w:t xml:space="preserve"> </w:t>
      </w:r>
      <w:r>
        <w:rPr>
          <w:rFonts w:ascii="Times New Roman" w:hAnsi="Times New Roman" w:eastAsia="Times New Roman"/>
          <w:b/>
          <w:bCs/>
          <w:sz w:val="20"/>
        </w:rPr>
        <w:t xml:space="preserve">VGGT-Depth</w:t>
      </w:r>
      <w:r>
        <w:rPr>
          <w:rFonts w:ascii="Times New Roman" w:hAnsi="Times New Roman" w:eastAsia="Times New Roman"/>
          <w:sz w:val="20"/>
        </w:rPr>
        <w:t xml:space="preserve">: from a pre-trained VGGT backbone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[37]</w:t>
      </w:r>
      <w:r>
        <w:rPr>
          <w:rFonts w:ascii="Times New Roman" w:hAnsi="Times New Roman" w:eastAsia="Times New Roman"/>
          <w:sz w:val="20"/>
        </w:rPr>
        <w:t xml:space="preserve">, a depth prior adaptation branch with cross-attention over multi-view tokens and a lightweight fusion head predicts per-view depth and confidence. Unlike a frozen monocular depth network</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[35]</w:t>
      </w:r>
      <w:r>
        <w:rPr>
          <w:rFonts w:ascii="Times New Roman" w:hAnsi="Times New Roman" w:eastAsia="Times New Roman"/>
          <w:sz w:val="20"/>
        </w:rPr>
        <w:t xml:space="preserve">, the adaptation branch is conditioned on multi-view tokens (Figure 2).</w:t>
      </w:r>
    </w:p>
    <w:p>
      <w:pPr>
        <w:pStyle w:val="SPIEbodytext"/>
        <w:jc w:val="center"/>
      </w:pPr>
      <w:r>
        <w:rPr>
          <w:rFonts w:ascii="Times New Roman" w:hAnsi="Times New Roman" w:eastAsia="Times New Roman"/>
          <w:sz w:val="20"/>
        </w:rPr>
        <w:drawing>
          <wp:inline>
            <wp:extent cx="59400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5940000" cy="350384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2. VGGT-Depth prior used for depth-guided point cloud densification.</w:t>
      </w:r>
    </w:p>
    <w:p>
      <w:pPr>
        <w:pStyle w:val="SPIEbodytext"/>
        <w:jc w:val="both"/>
      </w:pPr>
      <w:r>
        <w:rPr>
          <w:rFonts w:ascii="Times New Roman" w:hAnsi="Times New Roman" w:eastAsia="Times New Roman"/>
          <w:sz w:val="20"/>
        </w:rPr>
        <w:t xml:space="preserve">We use the Visual Hull AABB diagonal</w:t>
      </w:r>
      <w:r>
        <w:rPr>
          <w:rFonts w:ascii="Times New Roman" w:hAnsi="Times New Roman" w:eastAsia="Times New Roman"/>
          <w:sz w:val="20"/>
        </w:rPr>
        <w:t xml:space="preserve"> </w:t>
      </w:r>
      <m:oMath>
        <m:r>
          <m:t>L</m:t>
        </m:r>
      </m:oMath>
      <w:r>
        <w:rPr>
          <w:rFonts w:ascii="Times New Roman" w:hAnsi="Times New Roman" w:eastAsia="Times New Roman"/>
          <w:sz w:val="20"/>
        </w:rPr>
        <w:t xml:space="preserve"> </w:t>
      </w:r>
      <w:r>
        <w:rPr>
          <w:rFonts w:ascii="Times New Roman" w:hAnsi="Times New Roman" w:eastAsia="Times New Roman"/>
          <w:sz w:val="20"/>
        </w:rP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rPr>
          <w:rFonts w:ascii="Times New Roman" w:hAnsi="Times New Roman" w:eastAsia="Times New Roman"/>
          <w:sz w:val="20"/>
        </w:rPr>
        <w:t xml:space="preserve"> </w:t>
      </w:r>
      <m:oMath>
        <m:sSub>
          <m:e>
            <m:r>
              <m:t>q</m:t>
            </m:r>
          </m:e>
          <m:sub>
            <m:r>
              <m:t>v</m:t>
            </m:r>
          </m:sub>
        </m:sSub>
      </m:oMath>
      <w:r>
        <w:rPr>
          <w:rFonts w:ascii="Times New Roman" w:hAnsi="Times New Roman" w:eastAsia="Times New Roman"/>
          <w:sz w:val="20"/>
        </w:rPr>
        <w:t xml:space="preserve">. Views with</w:t>
      </w:r>
      <w:r>
        <w:rPr>
          <w:rFonts w:ascii="Times New Roman" w:hAnsi="Times New Roman" w:eastAsia="Times New Roman"/>
          <w:sz w:val="20"/>
        </w:rPr>
        <w:t xml:space="preserve"> </w:t>
      </w:r>
      <m:oMath>
        <m:sSub>
          <m:e>
            <m:r>
              <m:t>q</m:t>
            </m:r>
          </m:e>
          <m:sub>
            <m:r>
              <m:t>v</m:t>
            </m:r>
          </m:sub>
        </m:sSub>
        <m:r>
          <m:rPr>
            <m:sty m:val="p"/>
          </m:rPr>
          <m:t>&lt;</m:t>
        </m:r>
        <m:r>
          <m:t>0.4</m:t>
        </m:r>
      </m:oMath>
      <w:r>
        <w:rPr>
          <w:rFonts w:ascii="Times New Roman" w:hAnsi="Times New Roman" w:eastAsia="Times New Roman"/>
          <w:sz w:val="20"/>
        </w:rPr>
        <w:t xml:space="preserve"> </w:t>
      </w:r>
      <w:r>
        <w:rPr>
          <w:rFonts w:ascii="Times New Roman" w:hAnsi="Times New Roman" w:eastAsia="Times New Roman"/>
          <w:sz w:val="20"/>
        </w:rPr>
        <w:t xml:space="preserve">are discarded. If fewer than</w:t>
      </w:r>
      <w:r>
        <w:rPr>
          <w:rFonts w:ascii="Times New Roman" w:hAnsi="Times New Roman" w:eastAsia="Times New Roman"/>
          <w:sz w:val="20"/>
        </w:rPr>
        <w:t xml:space="preserve"> </w:t>
      </w:r>
      <m:oMath>
        <m:r>
          <m:t>0.8</m:t>
        </m:r>
        <m:r>
          <m:t>N</m:t>
        </m:r>
      </m:oMath>
      <w:r>
        <w:rPr>
          <w:rFonts w:ascii="Times New Roman" w:hAnsi="Times New Roman" w:eastAsia="Times New Roman"/>
          <w:sz w:val="20"/>
        </w:rPr>
        <w:t xml:space="preserve"> </w:t>
      </w:r>
      <w:r>
        <w:rPr>
          <w:rFonts w:ascii="Times New Roman" w:hAnsi="Times New Roman" w:eastAsia="Times New Roman"/>
          <w:sz w:val="20"/>
        </w:rPr>
        <w:t xml:space="preserve">views remain, densification is skipped and the Visual Hull point cloud is retained. Remaining views keep regions that pass VGGT-Depth confidence and depth consistency. With tolerance</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w:p>
        </w:tc>
        <w:tc>
          <w:tcPr>
            <w:tcW w:w="850" w:type="dxa"/>
            <w:vAlign w:val="center"/>
          </w:tcPr>
          <w:p>
            <w:pPr>
              <w:pStyle w:val="SPIEbodytext"/>
              <w:jc w:val="right"/>
            </w:pPr>
            <w:r>
              <w:rPr>
                <w:rFonts w:ascii="Times New Roman" w:hAnsi="Times New Roman" w:eastAsia="Times New Roman"/>
                <w:sz w:val="20"/>
              </w:rPr>
              <w:t>(1)</w:t>
            </w:r>
          </w:p>
        </w:tc>
      </w:tr>
    </w:tbl>
    <w:p>
      <w:pPr>
        <w:pStyle w:val="SPIEbodytext"/>
        <w:jc w:val="both"/>
      </w:pPr>
      <w:r>
        <w:rPr>
          <w:rFonts w:ascii="Times New Roman" w:hAnsi="Times New Roman" w:eastAsia="Times New Roman"/>
          <w:sz w:val="20"/>
        </w:rPr>
        <w:t xml:space="preserve">we reject low-confidence or inconsistent observations before back-projection.</w:t>
      </w:r>
    </w:p>
    <w:p>
      <w:pPr>
        <w:pStyle w:val="SPIEbodytext"/>
        <w:jc w:val="both"/>
      </w:pPr>
      <w:r>
        <w:rPr>
          <w:rFonts w:ascii="Times New Roman" w:hAnsi="Times New Roman" w:eastAsia="Times New Roman"/>
          <w:sz w:val="20"/>
        </w:rPr>
        <w:t xml:space="preserve">Point supplementation runs only along reliable rays. For each point, the top</w:t>
      </w:r>
      <w:r>
        <w:rPr>
          <w:rFonts w:ascii="Times New Roman" w:hAnsi="Times New Roman" w:eastAsia="Times New Roman"/>
          <w:sz w:val="20"/>
        </w:rPr>
        <w:t xml:space="preserve"> </w:t>
      </w:r>
      <m:oMath>
        <m:r>
          <m:t>K</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reliable views are selected; candidates are sampled around the predicted depth and back-projected. Related densification strategies propagate geometric cues or control Gaussian density during optimization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[24,25]</w:t>
      </w:r>
      <w:r>
        <w:rPr>
          <w:rFonts w:ascii="Times New Roman" w:hAnsi="Times New Roman" w:eastAsia="Times New Roman"/>
          <w:sz w:val="20"/>
        </w:rPr>
        <w:t xml:space="preserve">; alternating densification schedules have also been studied for sparse inputs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[27]</w:t>
      </w:r>
      <w:r>
        <w:rPr>
          <w:rFonts w:ascii="Times New Roman" w:hAnsi="Times New Roman" w:eastAsia="Times New Roman"/>
          <w:sz w:val="20"/>
        </w:rPr>
        <w:t xml:space="preserve">. Here supplementation is applied offline to the Visual Hull point cloud before training. Complementary work injects epipolar depth priors into sparse-view Gaussian reconstruction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[26]</w:t>
      </w:r>
      <w:r>
        <w:rPr>
          <w:rFonts w:ascii="Times New Roman" w:hAnsi="Times New Roman" w:eastAsia="Times New Roman"/>
          <w:sz w:val="20"/>
        </w:rPr>
        <w:t xml:space="preserve">, or rasterizes depth from Gaussians for geometric supervision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[40]</w:t>
      </w:r>
      <w:r>
        <w:rPr>
          <w:rFonts w:ascii="Times New Roman" w:hAnsi="Times New Roman" w:eastAsia="Times New Roman"/>
          <w:sz w:val="20"/>
        </w:rPr>
        <w:t xml:space="preserve">; we instead use adapted VGGT-Depth predictions for back-projection. Supplementary points are merged via two-stage voxel fusion and deduplication (</w:t>
      </w:r>
      <m:oMath>
        <m:r>
          <m:t>0.01</m:t>
        </m:r>
        <m:r>
          <m:t>L</m:t>
        </m:r>
      </m:oMath>
      <w:r>
        <w:rPr>
          <w:rFonts w:ascii="Times New Roman" w:hAnsi="Times New Roman" w:eastAsia="Times New Roman"/>
          <w:sz w:val="20"/>
        </w:rPr>
        <w:t xml:space="preserve"> </w:t>
      </w:r>
      <w:r>
        <w:rPr>
          <w:rFonts w:ascii="Times New Roman" w:hAnsi="Times New Roman" w:eastAsia="Times New Roman"/>
          <w:sz w:val="20"/>
        </w:rPr>
        <w:t xml:space="preserve">then</w:t>
      </w:r>
      <w:r>
        <w:rPr>
          <w:rFonts w:ascii="Times New Roman" w:hAnsi="Times New Roman" w:eastAsia="Times New Roman"/>
          <w:sz w:val="20"/>
        </w:rPr>
        <w:t xml:space="preserve"> </w:t>
      </w:r>
      <m:oMath>
        <m:r>
          <m:t>0.004</m:t>
        </m:r>
        <m:r>
          <m:t>L</m:t>
        </m:r>
      </m:oMath>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Each densified point initializes a Gaussian center; scale comes from the mean distance to its</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 </w:t>
      </w:r>
      <w:r>
        <w:rPr>
          <w:rFonts w:ascii="Times New Roman" w:hAnsi="Times New Roman" w:eastAsia="Times New Roman"/>
          <w:sz w:val="20"/>
        </w:rPr>
        <w:t xml:space="preserve">nearest neighbors. Multi-view colors are fused with depth-consistency and VGGT confidence weights. Opacity is set from cross-view consistency and clipped to</w:t>
      </w:r>
      <w:r>
        <w:rPr>
          <w:rFonts w:ascii="Times New Roman" w:hAnsi="Times New Roman" w:eastAsia="Times New Roman"/>
          <w:sz w:val="20"/>
        </w:rPr>
        <w:t xml:space="preserve"> </w:t>
      </w:r>
      <m:oMath>
        <m:r>
          <m:rPr>
            <m:sty m:val="p"/>
          </m:rPr>
          <m:t>[</m:t>
        </m:r>
        <m:r>
          <m:t>0.2</m:t>
        </m:r>
        <m:r>
          <m:rPr>
            <m:sty m:val="p"/>
          </m:rPr>
          <m:t>,</m:t>
        </m:r>
        <m:r>
          <m:t>0.8</m:t>
        </m:r>
        <m:r>
          <m:rPr>
            <m:sty m:val="p"/>
          </m:rPr>
          <m:t>]</m:t>
        </m:r>
      </m:oMath>
      <w:r>
        <w:rPr>
          <w:rFonts w:ascii="Times New Roman" w:hAnsi="Times New Roman" w:eastAsia="Times New Roman"/>
          <w:sz w:val="20"/>
        </w:rPr>
        <w:t xml:space="preserve">. Uneven supervision remains under sparse views; we address this with DVR (Sec. 3.4).</w:t>
      </w:r>
    </w:p>
    <w:bookmarkEnd w:id="42"/>
    <w:bookmarkStart w:id="43" w:name="_de6782f8b3194658926827b1faaaf566c81efa4"/>
    <w:p>
      <w:pPr>
        <w:pStyle w:val="2"/>
        <w:numPr>
          <w:ilvl w:val="1"/>
          <w:numId w:val="3"/>
        </w:numPr>
      </w:pPr>
      <w:r>
        <w:rPr>
          <w:rFonts w:ascii="Times New Roman" w:hAnsi="Times New Roman" w:eastAsia="Times New Roman"/>
          <w:b/>
          <w:sz w:val="20"/>
        </w:rPr>
        <w:t xml:space="preserve">Dynamic Visibility Regularization</w:t>
      </w:r>
    </w:p>
    <w:p>
      <w:pPr>
        <w:pStyle w:val="SPIEbodytext"/>
        <w:jc w:val="both"/>
      </w:pPr>
      <w:r>
        <w:rPr>
          <w:rFonts w:ascii="Times New Roman" w:hAnsi="Times New Roman" w:eastAsia="Times New Roman"/>
          <w:sz w:val="20"/>
        </w:rPr>
        <w:t xml:space="preserve">Sparse-view optimization remains strongly visibility-dependent. Distant, occluded, or poorly observed Gaussians appear in fewer views or pixels and receive weaker reconstruction gradients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[8,9]</w:t>
      </w:r>
      <w:r>
        <w:rPr>
          <w:rFonts w:ascii="Times New Roman" w:hAnsi="Times New Roman" w:eastAsia="Times New Roman"/>
          <w:sz w:val="20"/>
        </w:rPr>
        <w:t xml:space="preserve">. Visibility priors have also been explored to regularize sparse-input radiance fields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[10]</w:t>
      </w:r>
      <w:r>
        <w:rPr>
          <w:rFonts w:ascii="Times New Roman" w:hAnsi="Times New Roman" w:eastAsia="Times New Roman"/>
          <w:sz w:val="20"/>
        </w:rPr>
        <w:t xml:space="preserve">, and distractor-aware training further highlights sensitivity to unreliable observations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[41]</w:t>
      </w:r>
      <w:r>
        <w:rPr>
          <w:rFonts w:ascii="Times New Roman" w:hAnsi="Times New Roman" w:eastAsia="Times New Roman"/>
          <w:sz w:val="20"/>
        </w:rPr>
        <w:t xml:space="preserve">. Beyond fixed densification heuristics, densification can also be cast as stochastic sampling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[42]</w:t>
      </w:r>
      <w:r>
        <w:rPr>
          <w:rFonts w:ascii="Times New Roman" w:hAnsi="Times New Roman" w:eastAsia="Times New Roman"/>
          <w:sz w:val="20"/>
        </w:rPr>
        <w:t xml:space="preserve">, while constraining the Gaussian budget motivates careful control of which primitives participate in rendering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[43]</w:t>
      </w:r>
      <w:r>
        <w:rPr>
          <w:rFonts w:ascii="Times New Roman" w:hAnsi="Times New Roman" w:eastAsia="Times New Roman"/>
          <w:sz w:val="20"/>
        </w:rPr>
        <w:t xml:space="preserve">. We use DVR via progressive Gaussian dropout.</w:t>
      </w:r>
    </w:p>
    <w:p>
      <w:pPr>
        <w:pStyle w:val="SPIEbodytext"/>
        <w:jc w:val="both"/>
      </w:pPr>
      <w:r>
        <w:rPr>
          <w:rFonts w:ascii="Times New Roman" w:hAnsi="Times New Roman" w:eastAsia="Times New Roman"/>
          <w:sz w:val="20"/>
        </w:rPr>
        <w:t xml:space="preserve">At iteration</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DVR randomly masks a subset of Gaussians for dropout rendering. The dropout ratio grows linearly:</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w:p>
        </w:tc>
        <w:tc>
          <w:tcPr>
            <w:tcW w:w="850" w:type="dxa"/>
            <w:vAlign w:val="center"/>
          </w:tcPr>
          <w:p>
            <w:pPr>
              <w:pStyle w:val="SPIEbodytext"/>
              <w:jc w:val="right"/>
            </w:pPr>
            <w:r>
              <w:rPr>
                <w:rFonts w:ascii="Times New Roman" w:hAnsi="Times New Roman" w:eastAsia="Times New Roman"/>
                <w:sz w:val="20"/>
              </w:rPr>
              <w:t>(2)</w:t>
            </w:r>
          </w:p>
        </w:tc>
      </w:tr>
    </w:tbl>
    <w:p>
      <w:pPr>
        <w:pStyle w:val="SPIEbodytext"/>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w:t>
      </w:r>
      <w:r>
        <w:rPr>
          <w:rFonts w:ascii="Times New Roman" w:hAnsi="Times New Roman" w:eastAsia="Times New Roman"/>
          <w:sz w:val="20"/>
        </w:rPr>
        <w:t xml:space="preserve">are the current and total iterations,</w:t>
      </w:r>
      <w:r>
        <w:rPr>
          <w:rFonts w:ascii="Times New Roman" w:hAnsi="Times New Roman" w:eastAsia="Times New Roman"/>
          <w:sz w:val="20"/>
        </w:rPr>
        <w:t xml:space="preserve"> </w:t>
      </w:r>
      <m:oMath>
        <m:sSub>
          <m:e>
            <m:r>
              <m:t>r</m:t>
            </m:r>
          </m:e>
          <m:sub>
            <m:r>
              <m:rPr>
                <m:sty m:val="p"/>
              </m:rPr>
              <m:t>max</m:t>
            </m:r>
          </m:sub>
        </m:sSub>
      </m:oMath>
      <w:r>
        <w:rPr>
          <w:rFonts w:ascii="Times New Roman" w:hAnsi="Times New Roman" w:eastAsia="Times New Roman"/>
          <w:sz w:val="20"/>
        </w:rPr>
        <w:t xml:space="preserve"> </w:t>
      </w:r>
      <w:r>
        <w:rPr>
          <w:rFonts w:ascii="Times New Roman" w:hAnsi="Times New Roman" w:eastAsia="Times New Roman"/>
          <w:sz w:val="20"/>
        </w:rPr>
        <w:t xml:space="preserve">is the maximum dropout ratio, and</w:t>
      </w:r>
      <w:r>
        <w:rPr>
          <w:rFonts w:ascii="Times New Roman" w:hAnsi="Times New Roman" w:eastAsia="Times New Roman"/>
          <w:sz w:val="20"/>
        </w:rPr>
        <w:t xml:space="preserve"> </w:t>
      </w:r>
      <m:oMath>
        <m:r>
          <m:t>γ</m:t>
        </m:r>
        <m:r>
          <m:rPr>
            <m:sty m:val="p"/>
          </m:rPr>
          <m:t>=</m:t>
        </m:r>
        <m:r>
          <m:t>0.1</m:t>
        </m:r>
      </m:oMath>
      <w:r>
        <w:rPr>
          <w:rFonts w:ascii="Times New Roman" w:hAnsi="Times New Roman" w:eastAsia="Times New Roman"/>
          <w:sz w:val="20"/>
        </w:rPr>
        <w:t xml:space="preserve">–</w:t>
      </w:r>
      <m:oMath>
        <m:r>
          <m:t>0.2</m:t>
        </m:r>
      </m:oMath>
      <w:r>
        <w:rPr>
          <w:rFonts w:ascii="Times New Roman" w:hAnsi="Times New Roman" w:eastAsia="Times New Roman"/>
          <w:sz w:val="20"/>
        </w:rPr>
        <w:t xml:space="preserve"> </w:t>
      </w:r>
      <w:r>
        <w:rPr>
          <w:rFonts w:ascii="Times New Roman" w:hAnsi="Times New Roman" w:eastAsia="Times New Roman"/>
          <w:sz w:val="20"/>
        </w:rPr>
        <w:t xml:space="preserve">controls the growth rate. Early training keeps weak dropout for geometric convergence; later training increases it against sparse-view overfitting.</w:t>
      </w:r>
    </w:p>
    <w:p>
      <w:pPr>
        <w:pStyle w:val="SPIEbodytext"/>
        <w:jc w:val="both"/>
      </w:pPr>
      <w:r>
        <w:rPr>
          <w:rFonts w:ascii="Times New Roman" w:hAnsi="Times New Roman" w:eastAsia="Times New Roman"/>
          <w:sz w:val="20"/>
        </w:rPr>
        <w:t xml:space="preserve">Used alone, random dropout can induce opacity or scale compensation; we keep a full-render branch as an anchor. Unlike compensated rendering that rescales retained primitives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the dropout branch is left uncompensated, while the full set is rendered in parallel under the same target. Let</w:t>
      </w:r>
      <w:r>
        <w:rPr>
          <w:rFonts w:ascii="Times New Roman" w:hAnsi="Times New Roman" w:eastAsia="Times New Roman"/>
          <w:sz w:val="20"/>
        </w:rPr>
        <w:t xml:space="preserve"> </w:t>
      </w:r>
      <m:oMath>
        <m:sSub>
          <m:e>
            <m:r>
              <m:t>I</m:t>
            </m:r>
          </m:e>
          <m:sub>
            <m:r>
              <m:rPr>
                <m:sty m:val="p"/>
              </m:rPr>
              <m:t>f</m:t>
            </m:r>
            <m:r>
              <m:rPr>
                <m:sty m:val="p"/>
              </m:rPr>
              <m:t>u</m:t>
            </m:r>
            <m:r>
              <m:rPr>
                <m:sty m:val="p"/>
              </m:rPr>
              <m:t>l</m:t>
            </m:r>
            <m:r>
              <m:rPr>
                <m:sty m:val="p"/>
              </m:rPr>
              <m:t>l</m:t>
            </m:r>
          </m:sub>
        </m:sSub>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sSub>
          <m:e>
            <m:r>
              <m:t>I</m:t>
            </m:r>
          </m:e>
          <m:sub>
            <m:r>
              <m:rPr>
                <m:sty m:val="p"/>
              </m:rPr>
              <m:t>d</m:t>
            </m:r>
            <m:r>
              <m:rPr>
                <m:sty m:val="p"/>
              </m:rPr>
              <m:t>r</m:t>
            </m:r>
            <m:r>
              <m:rPr>
                <m:sty m:val="p"/>
              </m:rPr>
              <m:t>o</m:t>
            </m:r>
            <m:r>
              <m:rPr>
                <m:sty m:val="p"/>
              </m:rPr>
              <m:t>p</m:t>
            </m:r>
          </m:sub>
        </m:sSub>
      </m:oMath>
      <w:r>
        <w:rPr>
          <w:rFonts w:ascii="Times New Roman" w:hAnsi="Times New Roman" w:eastAsia="Times New Roman"/>
          <w:sz w:val="20"/>
        </w:rPr>
        <w:t xml:space="preserve"> </w:t>
      </w:r>
      <w:r>
        <w:rPr>
          <w:rFonts w:ascii="Times New Roman" w:hAnsi="Times New Roman" w:eastAsia="Times New Roman"/>
          <w:sz w:val="20"/>
        </w:rPr>
        <w:t xml:space="preserve">denote the full and dropout renderings, and</w:t>
      </w:r>
      <w:r>
        <w:rPr>
          <w:rFonts w:ascii="Times New Roman" w:hAnsi="Times New Roman" w:eastAsia="Times New Roman"/>
          <w:sz w:val="20"/>
        </w:rPr>
        <w:t xml:space="preserve"> </w:t>
      </w:r>
      <m:oMath>
        <m:r>
          <m:t>I</m:t>
        </m:r>
      </m:oMath>
      <w:r>
        <w:rPr>
          <w:rFonts w:ascii="Times New Roman" w:hAnsi="Times New Roman" w:eastAsia="Times New Roman"/>
          <w:sz w:val="20"/>
        </w:rPr>
        <w:t xml:space="preserve"> </w:t>
      </w:r>
      <w:r>
        <w:rPr>
          <w:rFonts w:ascii="Times New Roman" w:hAnsi="Times New Roman" w:eastAsia="Times New Roman"/>
          <w:sz w:val="20"/>
        </w:rPr>
        <w:t xml:space="preserve">the ground-truth image. We use the standard color loss</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w:p>
        </w:tc>
        <w:tc>
          <w:tcPr>
            <w:tcW w:w="850" w:type="dxa"/>
            <w:vAlign w:val="center"/>
          </w:tcPr>
          <w:p>
            <w:pPr>
              <w:pStyle w:val="SPIEbodytext"/>
              <w:jc w:val="right"/>
            </w:pPr>
            <w:r>
              <w:rPr>
                <w:rFonts w:ascii="Times New Roman" w:hAnsi="Times New Roman" w:eastAsia="Times New Roman"/>
                <w:sz w:val="20"/>
              </w:rPr>
              <w:t>(3)</w:t>
            </w:r>
          </w:p>
        </w:tc>
      </w:tr>
    </w:tbl>
    <w:p>
      <w:pPr>
        <w:pStyle w:val="SPIEbodytext"/>
        <w:jc w:val="both"/>
      </w:pPr>
      <w:r>
        <w:rPr>
          <w:rFonts w:ascii="Times New Roman" w:hAnsi="Times New Roman" w:eastAsia="Times New Roman"/>
          <w:sz w:val="20"/>
        </w:rPr>
        <w:t xml:space="preserve">with</w:t>
      </w:r>
      <w:r>
        <w:rPr>
          <w:rFonts w:ascii="Times New Roman" w:hAnsi="Times New Roman" w:eastAsia="Times New Roman"/>
          <w:sz w:val="20"/>
        </w:rPr>
        <w:t xml:space="preserve"> </w:t>
      </w:r>
      <m:oMath>
        <m:r>
          <m:t>λ</m:t>
        </m:r>
        <m:r>
          <m:rPr>
            <m:sty m:val="p"/>
          </m:rPr>
          <m:t>=</m:t>
        </m:r>
        <m:r>
          <m:t>0.2</m:t>
        </m:r>
      </m:oMath>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The final objective is</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w:p>
        </w:tc>
        <w:tc>
          <w:tcPr>
            <w:tcW w:w="850" w:type="dxa"/>
            <w:vAlign w:val="center"/>
          </w:tcPr>
          <w:p>
            <w:pPr>
              <w:pStyle w:val="SPIEbodytext"/>
              <w:jc w:val="right"/>
            </w:pPr>
            <w:r>
              <w:rPr>
                <w:rFonts w:ascii="Times New Roman" w:hAnsi="Times New Roman" w:eastAsia="Times New Roman"/>
                <w:sz w:val="20"/>
              </w:rPr>
              <w:t>(4)</w:t>
            </w:r>
          </w:p>
        </w:tc>
      </w:tr>
    </w:tbl>
    <w:p>
      <w:pPr>
        <w:pStyle w:val="SPIEbodytext"/>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β</m:t>
        </m:r>
        <m:r>
          <m:rPr>
            <m:sty m:val="p"/>
          </m:rPr>
          <m:t>=</m:t>
        </m:r>
        <m:r>
          <m:t>0.5</m:t>
        </m:r>
      </m:oMath>
      <w:r>
        <w:rPr>
          <w:rFonts w:ascii="Times New Roman" w:hAnsi="Times New Roman" w:eastAsia="Times New Roman"/>
          <w:sz w:val="20"/>
        </w:rPr>
        <w:t xml:space="preserve">–</w:t>
      </w:r>
      <m:oMath>
        <m:r>
          <m:t>1.0</m:t>
        </m:r>
      </m:oMath>
      <w:r>
        <w:rPr>
          <w:rFonts w:ascii="Times New Roman" w:hAnsi="Times New Roman" w:eastAsia="Times New Roman"/>
          <w:sz w:val="20"/>
        </w:rPr>
        <w:t xml:space="preserve">. Related sparse-view designs further modulate masking with depth and density cues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[44]</w:t>
      </w:r>
      <w:r>
        <w:rPr>
          <w:rFonts w:ascii="Times New Roman" w:hAnsi="Times New Roman" w:eastAsia="Times New Roman"/>
          <w:sz w:val="20"/>
        </w:rPr>
        <w:t xml:space="preserve">, or drop anchors and spherical harmonics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[29]</w:t>
      </w:r>
      <w:r>
        <w:rPr>
          <w:rFonts w:ascii="Times New Roman" w:hAnsi="Times New Roman" w:eastAsia="Times New Roman"/>
          <w:sz w:val="20"/>
        </w:rPr>
        <w:t xml:space="preserve">; DVR instead uses a progressive random schedule with an uncompensated dropout branch.</w:t>
      </w:r>
    </w:p>
    <w:bookmarkEnd w:id="43"/>
    <w:bookmarkEnd w:id="44"/>
    <w:bookmarkStart w:id="51" w:name="_experiments"/>
    <w:p>
      <w:pPr>
        <w:pStyle w:val="1"/>
      </w:pPr>
      <w:r>
        <w:rPr>
          <w:rFonts w:ascii="Times New Roman" w:hAnsi="Times New Roman" w:eastAsia="Times New Roman"/>
          <w:b/>
          <w:sz w:val="22"/>
        </w:rPr>
        <w:t xml:space="preserve">EXPERIMENTS</w:t>
      </w:r>
    </w:p>
    <w:bookmarkStart w:id="45" w:name="_8c71682b4dd082a37c036392af9a2ba722ffa00"/>
    <w:p>
      <w:pPr>
        <w:pStyle w:val="2"/>
      </w:pPr>
      <w:r>
        <w:rPr>
          <w:rFonts w:ascii="Times New Roman" w:hAnsi="Times New Roman" w:eastAsia="Times New Roman"/>
          <w:b/>
          <w:sz w:val="20"/>
        </w:rPr>
        <w:t xml:space="preserve">Experimental Setup and Datasets</w:t>
      </w:r>
    </w:p>
    <w:p>
      <w:pPr>
        <w:pStyle w:val="SPIEbodytext"/>
        <w:jc w:val="both"/>
      </w:pPr>
      <w:r>
        <w:rPr>
          <w:rFonts w:ascii="Times New Roman" w:hAnsi="Times New Roman" w:eastAsia="Times New Roman"/>
          <w:sz w:val="20"/>
        </w:rPr>
        <w:t xml:space="preserve">We evaluate SynGS on Mip-NeRF 360 (unbounded 360° scenes)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[45]</w:t>
      </w:r>
      <w:r>
        <w:rPr>
          <w:rFonts w:ascii="Times New Roman" w:hAnsi="Times New Roman" w:eastAsia="Times New Roman"/>
          <w:sz w:val="20"/>
        </w:rPr>
        <w:t xml:space="preserve"> </w:t>
      </w:r>
      <w:r>
        <w:rPr>
          <w:rFonts w:ascii="Times New Roman" w:hAnsi="Times New Roman" w:eastAsia="Times New Roman"/>
          <w:sz w:val="20"/>
        </w:rPr>
        <w:t xml:space="preserve">and LLFF (forward-facing real captures)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[46]</w:t>
      </w:r>
      <w:r>
        <w:rPr>
          <w:rFonts w:ascii="Times New Roman" w:hAnsi="Times New Roman" w:eastAsia="Times New Roman"/>
          <w:sz w:val="20"/>
        </w:rPr>
        <w:t xml:space="preserve">. All images are downsampled by a factor of 8. Mip-NeRF 360 scenes are tested with 4, 6, and 9 uniformly sampled input views. Metrics are PSNR, SSIM, and LPIPS. We compare against the baselines in Table 1 and Table 2. Table 1 includes RegNeRF</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w:t>
      </w:r>
      <w:r>
        <w:rPr>
          <w:rFonts w:ascii="Times New Roman" w:hAnsi="Times New Roman" w:eastAsia="Times New Roman"/>
          <w:sz w:val="20"/>
        </w:rPr>
        <w:t xml:space="preserve">, SparseNeRF</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[15]</w:t>
      </w:r>
      <w:r>
        <w:rPr>
          <w:rFonts w:ascii="Times New Roman" w:hAnsi="Times New Roman" w:eastAsia="Times New Roman"/>
          <w:sz w:val="20"/>
        </w:rPr>
        <w:t xml:space="preserve">, 3DGS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CoR-GS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[13]</w:t>
      </w:r>
      <w:r>
        <w:rPr>
          <w:rFonts w:ascii="Times New Roman" w:hAnsi="Times New Roman" w:eastAsia="Times New Roman"/>
          <w:sz w:val="20"/>
        </w:rPr>
        <w:t xml:space="preserve">, DropGaussian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and D²GS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[44]</w:t>
      </w:r>
      <w:r>
        <w:rPr>
          <w:rFonts w:ascii="Times New Roman" w:hAnsi="Times New Roman" w:eastAsia="Times New Roman"/>
          <w:sz w:val="20"/>
        </w:rPr>
        <w:t xml:space="preserve">. Table 2 uses the same 3DGS-based baselines, with FreeNeRF</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w:t>
      </w:r>
      <w:r>
        <w:rPr>
          <w:rFonts w:ascii="Times New Roman" w:hAnsi="Times New Roman" w:eastAsia="Times New Roman"/>
          <w:sz w:val="20"/>
        </w:rPr>
        <w:t xml:space="preserve"> </w:t>
      </w:r>
      <w:r>
        <w:rPr>
          <w:rFonts w:ascii="Times New Roman" w:hAnsi="Times New Roman" w:eastAsia="Times New Roman"/>
          <w:sz w:val="20"/>
        </w:rPr>
        <w:t xml:space="preserve">in place of SparseNeRF among the NeRF-based methods.</w:t>
      </w:r>
    </w:p>
    <w:p>
      <w:pPr>
        <w:pStyle w:val="SPIEbodytext"/>
        <w:jc w:val="both"/>
      </w:pPr>
      <w:r>
        <w:rPr>
          <w:rFonts w:ascii="Times New Roman" w:hAnsi="Times New Roman" w:eastAsia="Times New Roman"/>
          <w:sz w:val="20"/>
        </w:rP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9" w:name="_c8eb0011d78a6c0369266f6d6a40137701048a6"/>
    <w:p>
      <w:pPr>
        <w:pStyle w:val="2"/>
      </w:pPr>
      <w:r>
        <w:rPr>
          <w:rFonts w:ascii="Times New Roman" w:hAnsi="Times New Roman" w:eastAsia="Times New Roman"/>
          <w:b/>
          <w:sz w:val="20"/>
        </w:rPr>
        <w:t xml:space="preserve">Quantitative and Qualitative Results</w:t>
      </w:r>
    </w:p>
    <w:p>
      <w:pPr>
        <w:pStyle w:val="SPIEtablecaption"/>
        <w:jc w:val="both"/>
      </w:pPr>
      <w:r>
        <w:rPr>
          <w:rFonts w:ascii="Times New Roman" w:hAnsi="Times New Roman" w:eastAsia="Times New Roman"/>
          <w:sz w:val="18"/>
        </w:rPr>
        <w:t xml:space="preserve">Table 1. Performance comparisons of sparse-view synthesis on Mip-NeRF 360 (4/6/9 views).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883"/>
        <w:gridCol w:w="883"/>
        <w:gridCol w:w="883"/>
        <w:gridCol w:w="883"/>
        <w:gridCol w:w="883"/>
        <w:gridCol w:w="883"/>
        <w:gridCol w:w="883"/>
        <w:gridCol w:w="883"/>
        <w:gridCol w:w="883"/>
        <w:gridCol w:w="883"/>
        <w:gridCol w:w="883"/>
      </w:tblGrid>
      <w:tr>
        <w:trPr>
          <w:cantSplit/>
        </w:trPr>
        <w:tc>
          <w:tcPr>
            <w:tcW w:type="dxa" w:w="883"/>
          </w:tcPr>
          <w:p>
            <w:pPr>
              <w:jc w:val="center"/>
            </w:pPr>
            <w:r/>
            <w:r>
              <w:rPr>
                <w:rFonts w:ascii="Times New Roman" w:hAnsi="Times New Roman" w:eastAsia="Times New Roman"/>
                <w:b w:val="0"/>
                <w:sz w:val="16"/>
              </w:rPr>
            </w:r>
          </w:p>
        </w:tc>
        <w:tc>
          <w:tcPr>
            <w:tcW w:type="dxa" w:w="883"/>
          </w:tcPr>
          <w:p>
            <w:pPr>
              <w:jc w:val="center"/>
            </w:pPr>
            <w:r/>
            <w:r>
              <w:rPr>
                <w:rFonts w:ascii="Times New Roman" w:hAnsi="Times New Roman" w:eastAsia="Times New Roman"/>
                <w:b/>
                <w:sz w:val="16"/>
              </w:rPr>
              <w:t>Methods</w:t>
            </w:r>
          </w:p>
        </w:tc>
        <w:tc>
          <w:tcPr>
            <w:tcW w:type="dxa" w:w="2649"/>
            <w:gridSpan w:val="3"/>
          </w:tcPr>
          <w:p>
            <w:pPr>
              <w:jc w:val="center"/>
            </w:pPr>
            <w:r/>
            <w:r>
              <w:rPr>
                <w:rFonts w:ascii="Times New Roman" w:hAnsi="Times New Roman" w:eastAsia="Times New Roman"/>
                <w:b/>
                <w:sz w:val="16"/>
              </w:rPr>
              <w:t>Mip-NeRF 360 (4-view)</w:t>
            </w:r>
          </w:p>
        </w:tc>
        <w:tc>
          <w:tcPr>
            <w:tcW w:type="dxa" w:w="2649"/>
            <w:gridSpan w:val="3"/>
          </w:tcPr>
          <w:p>
            <w:pPr>
              <w:jc w:val="center"/>
            </w:pPr>
            <w:r/>
            <w:r>
              <w:rPr>
                <w:rFonts w:ascii="Times New Roman" w:hAnsi="Times New Roman" w:eastAsia="Times New Roman"/>
                <w:b/>
                <w:sz w:val="16"/>
              </w:rPr>
              <w:t>Mip-NeRF 360 (6-view)</w:t>
            </w:r>
          </w:p>
        </w:tc>
        <w:tc>
          <w:tcPr>
            <w:tcW w:type="dxa" w:w="2649"/>
            <w:gridSpan w:val="3"/>
          </w:tcPr>
          <w:p>
            <w:pPr>
              <w:jc w:val="center"/>
            </w:pPr>
            <w:r/>
            <w:r>
              <w:rPr>
                <w:rFonts w:ascii="Times New Roman" w:hAnsi="Times New Roman" w:eastAsia="Times New Roman"/>
                <w:b/>
                <w:sz w:val="16"/>
              </w:rPr>
              <w:t>Mip-NeRF 360 (9-view)</w:t>
            </w:r>
          </w:p>
        </w:tc>
      </w:tr>
      <w:tr>
        <w:trPr>
          <w:cantSplit/>
        </w:trPr>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r>
      <w:tr>
        <w:trPr>
          <w:cantSplit/>
        </w:trPr>
        <w:tc>
          <w:tcPr>
            <w:tcW w:type="dxa" w:w="883"/>
            <w:vMerge w:val="restart"/>
          </w:tcPr>
          <w:p>
            <w:pPr>
              <w:jc w:val="center"/>
            </w:pPr>
            <w:r/>
            <w:r>
              <w:rPr>
                <w:rFonts w:ascii="Times New Roman" w:hAnsi="Times New Roman" w:eastAsia="Times New Roman"/>
                <w:b/>
                <w:sz w:val="14"/>
              </w:rPr>
              <w:t>NeRF-based</w:t>
            </w:r>
          </w:p>
        </w:tc>
        <w:tc>
          <w:tcPr>
            <w:tcW w:type="dxa" w:w="883"/>
          </w:tcPr>
          <w:p>
            <w:pPr>
              <w:jc w:val="left"/>
            </w:pPr>
            <w:r/>
            <w:r>
              <w:rPr>
                <w:rFonts w:ascii="Times New Roman" w:hAnsi="Times New Roman" w:eastAsia="Times New Roman"/>
                <w:b w:val="0"/>
                <w:sz w:val="16"/>
              </w:rPr>
              <w:t>RegNeRF</w:t>
            </w:r>
          </w:p>
        </w:tc>
        <w:tc>
          <w:tcPr>
            <w:tcW w:type="dxa" w:w="883"/>
          </w:tcPr>
          <w:p>
            <w:pPr>
              <w:jc w:val="center"/>
            </w:pPr>
            <w:r/>
            <w:r>
              <w:rPr>
                <w:rFonts w:ascii="Times New Roman" w:hAnsi="Times New Roman" w:eastAsia="Times New Roman"/>
                <w:b w:val="0"/>
                <w:sz w:val="16"/>
              </w:rPr>
              <w:t>19.88</w:t>
            </w:r>
          </w:p>
        </w:tc>
        <w:tc>
          <w:tcPr>
            <w:tcW w:type="dxa" w:w="883"/>
          </w:tcPr>
          <w:p>
            <w:pPr>
              <w:jc w:val="center"/>
            </w:pPr>
            <w:r/>
            <w:r>
              <w:rPr>
                <w:rFonts w:ascii="Times New Roman" w:hAnsi="Times New Roman" w:eastAsia="Times New Roman"/>
                <w:b w:val="0"/>
                <w:sz w:val="16"/>
              </w:rPr>
              <w:t>12.59</w:t>
            </w:r>
          </w:p>
        </w:tc>
        <w:tc>
          <w:tcPr>
            <w:tcW w:type="dxa" w:w="883"/>
          </w:tcPr>
          <w:p>
            <w:pPr>
              <w:jc w:val="center"/>
            </w:pPr>
            <w:r/>
            <w:r>
              <w:rPr>
                <w:rFonts w:ascii="Times New Roman" w:hAnsi="Times New Roman" w:eastAsia="Times New Roman"/>
                <w:b w:val="0"/>
                <w:sz w:val="16"/>
              </w:rPr>
              <w:t>0.841</w:t>
            </w:r>
          </w:p>
        </w:tc>
        <w:tc>
          <w:tcPr>
            <w:tcW w:type="dxa" w:w="883"/>
          </w:tcPr>
          <w:p>
            <w:pPr>
              <w:jc w:val="center"/>
            </w:pPr>
            <w:r/>
            <w:r>
              <w:rPr>
                <w:rFonts w:ascii="Times New Roman" w:hAnsi="Times New Roman" w:eastAsia="Times New Roman"/>
                <w:b w:val="0"/>
                <w:sz w:val="16"/>
              </w:rPr>
              <w:t>20.72</w:t>
            </w:r>
          </w:p>
        </w:tc>
        <w:tc>
          <w:tcPr>
            <w:tcW w:type="dxa" w:w="883"/>
          </w:tcPr>
          <w:p>
            <w:pPr>
              <w:jc w:val="center"/>
            </w:pPr>
            <w:r/>
            <w:r>
              <w:rPr>
                <w:rFonts w:ascii="Times New Roman" w:hAnsi="Times New Roman" w:eastAsia="Times New Roman"/>
                <w:b w:val="0"/>
                <w:sz w:val="16"/>
              </w:rPr>
              <w:t>13.41</w:t>
            </w:r>
          </w:p>
        </w:tc>
        <w:tc>
          <w:tcPr>
            <w:tcW w:type="dxa" w:w="883"/>
          </w:tcPr>
          <w:p>
            <w:pPr>
              <w:jc w:val="center"/>
            </w:pPr>
            <w:r/>
            <w:r>
              <w:rPr>
                <w:rFonts w:ascii="Times New Roman" w:hAnsi="Times New Roman" w:eastAsia="Times New Roman"/>
                <w:b w:val="0"/>
                <w:sz w:val="16"/>
              </w:rPr>
              <w:t>0.847</w:t>
            </w:r>
          </w:p>
        </w:tc>
        <w:tc>
          <w:tcPr>
            <w:tcW w:type="dxa" w:w="883"/>
          </w:tcPr>
          <w:p>
            <w:pPr>
              <w:jc w:val="center"/>
            </w:pPr>
            <w:r/>
            <w:r>
              <w:rPr>
                <w:rFonts w:ascii="Times New Roman" w:hAnsi="Times New Roman" w:eastAsia="Times New Roman"/>
                <w:b w:val="0"/>
                <w:sz w:val="16"/>
              </w:rPr>
              <w:t>19.70</w:t>
            </w:r>
          </w:p>
        </w:tc>
        <w:tc>
          <w:tcPr>
            <w:tcW w:type="dxa" w:w="883"/>
          </w:tcPr>
          <w:p>
            <w:pPr>
              <w:jc w:val="center"/>
            </w:pPr>
            <w:r/>
            <w:r>
              <w:rPr>
                <w:rFonts w:ascii="Times New Roman" w:hAnsi="Times New Roman" w:eastAsia="Times New Roman"/>
                <w:b w:val="0"/>
                <w:sz w:val="16"/>
              </w:rPr>
              <w:t>13.68</w:t>
            </w:r>
          </w:p>
        </w:tc>
        <w:tc>
          <w:tcPr>
            <w:tcW w:type="dxa" w:w="883"/>
          </w:tcPr>
          <w:p>
            <w:pPr>
              <w:jc w:val="center"/>
            </w:pPr>
            <w:r/>
            <w:r>
              <w:rPr>
                <w:rFonts w:ascii="Times New Roman" w:hAnsi="Times New Roman" w:eastAsia="Times New Roman"/>
                <w:b w:val="0"/>
                <w:sz w:val="16"/>
              </w:rPr>
              <w:t>0.852</w:t>
            </w:r>
          </w:p>
        </w:tc>
      </w:tr>
      <w:tr>
        <w:trPr>
          <w:cantSplit/>
        </w:trPr>
        <w:tc>
          <w:tcPr>
            <w:tcW w:type="dxa" w:w="883"/>
            <w:vMerge/>
          </w:tcPr>
          <w:p/>
        </w:tc>
        <w:tc>
          <w:tcPr>
            <w:tcW w:type="dxa" w:w="883"/>
          </w:tcPr>
          <w:p>
            <w:pPr>
              <w:jc w:val="left"/>
            </w:pPr>
            <w:r/>
            <w:r>
              <w:rPr>
                <w:rFonts w:ascii="Times New Roman" w:hAnsi="Times New Roman" w:eastAsia="Times New Roman"/>
                <w:b w:val="0"/>
                <w:sz w:val="16"/>
              </w:rPr>
              <w:t>SparseNeRF</w:t>
            </w:r>
          </w:p>
        </w:tc>
        <w:tc>
          <w:tcPr>
            <w:tcW w:type="dxa" w:w="883"/>
          </w:tcPr>
          <w:p>
            <w:pPr>
              <w:jc w:val="center"/>
            </w:pPr>
            <w:r/>
            <w:r>
              <w:rPr>
                <w:rFonts w:ascii="Times New Roman" w:hAnsi="Times New Roman" w:eastAsia="Times New Roman"/>
                <w:b w:val="0"/>
                <w:sz w:val="16"/>
              </w:rPr>
              <w:t>17.76</w:t>
            </w:r>
          </w:p>
        </w:tc>
        <w:tc>
          <w:tcPr>
            <w:tcW w:type="dxa" w:w="883"/>
          </w:tcPr>
          <w:p>
            <w:pPr>
              <w:jc w:val="center"/>
            </w:pPr>
            <w:r/>
            <w:r>
              <w:rPr>
                <w:rFonts w:ascii="Times New Roman" w:hAnsi="Times New Roman" w:eastAsia="Times New Roman"/>
                <w:b w:val="0"/>
                <w:sz w:val="16"/>
              </w:rPr>
              <w:t>12.83</w:t>
            </w:r>
          </w:p>
        </w:tc>
        <w:tc>
          <w:tcPr>
            <w:tcW w:type="dxa" w:w="883"/>
          </w:tcPr>
          <w:p>
            <w:pPr>
              <w:jc w:val="center"/>
            </w:pPr>
            <w:r/>
            <w:r>
              <w:rPr>
                <w:rFonts w:ascii="Times New Roman" w:hAnsi="Times New Roman" w:eastAsia="Times New Roman"/>
                <w:b w:val="0"/>
                <w:sz w:val="16"/>
              </w:rPr>
              <w:t>0.845</w:t>
            </w:r>
          </w:p>
        </w:tc>
        <w:tc>
          <w:tcPr>
            <w:tcW w:type="dxa" w:w="883"/>
          </w:tcPr>
          <w:p>
            <w:pPr>
              <w:jc w:val="center"/>
            </w:pPr>
            <w:r/>
            <w:r>
              <w:rPr>
                <w:rFonts w:ascii="Times New Roman" w:hAnsi="Times New Roman" w:eastAsia="Times New Roman"/>
                <w:b w:val="0"/>
                <w:sz w:val="16"/>
              </w:rPr>
              <w:t>19.74</w:t>
            </w:r>
          </w:p>
        </w:tc>
        <w:tc>
          <w:tcPr>
            <w:tcW w:type="dxa" w:w="883"/>
          </w:tcPr>
          <w:p>
            <w:pPr>
              <w:jc w:val="center"/>
            </w:pPr>
            <w:r/>
            <w:r>
              <w:rPr>
                <w:rFonts w:ascii="Times New Roman" w:hAnsi="Times New Roman" w:eastAsia="Times New Roman"/>
                <w:b w:val="0"/>
                <w:sz w:val="16"/>
              </w:rPr>
              <w:t>13.42</w:t>
            </w:r>
          </w:p>
        </w:tc>
        <w:tc>
          <w:tcPr>
            <w:tcW w:type="dxa" w:w="883"/>
          </w:tcPr>
          <w:p>
            <w:pPr>
              <w:jc w:val="center"/>
            </w:pPr>
            <w:r/>
            <w:r>
              <w:rPr>
                <w:rFonts w:ascii="Times New Roman" w:hAnsi="Times New Roman" w:eastAsia="Times New Roman"/>
                <w:b w:val="0"/>
                <w:sz w:val="16"/>
              </w:rPr>
              <w:t>0.861</w:t>
            </w:r>
          </w:p>
        </w:tc>
        <w:tc>
          <w:tcPr>
            <w:tcW w:type="dxa" w:w="883"/>
          </w:tcPr>
          <w:p>
            <w:pPr>
              <w:jc w:val="center"/>
            </w:pPr>
            <w:r/>
            <w:r>
              <w:rPr>
                <w:rFonts w:ascii="Times New Roman" w:hAnsi="Times New Roman" w:eastAsia="Times New Roman"/>
                <w:b w:val="0"/>
                <w:sz w:val="16"/>
              </w:rPr>
              <w:t>21.56</w:t>
            </w:r>
          </w:p>
        </w:tc>
        <w:tc>
          <w:tcPr>
            <w:tcW w:type="dxa" w:w="883"/>
          </w:tcPr>
          <w:p>
            <w:pPr>
              <w:jc w:val="center"/>
            </w:pPr>
            <w:r/>
            <w:r>
              <w:rPr>
                <w:rFonts w:ascii="Times New Roman" w:hAnsi="Times New Roman" w:eastAsia="Times New Roman"/>
                <w:b w:val="0"/>
                <w:sz w:val="16"/>
              </w:rPr>
              <w:t>14.36</w:t>
            </w:r>
          </w:p>
        </w:tc>
        <w:tc>
          <w:tcPr>
            <w:tcW w:type="dxa" w:w="883"/>
          </w:tcPr>
          <w:p>
            <w:pPr>
              <w:jc w:val="center"/>
            </w:pPr>
            <w:r/>
            <w:r>
              <w:rPr>
                <w:rFonts w:ascii="Times New Roman" w:hAnsi="Times New Roman" w:eastAsia="Times New Roman"/>
                <w:b w:val="0"/>
                <w:sz w:val="16"/>
              </w:rPr>
              <w:t>0.873</w:t>
            </w:r>
          </w:p>
        </w:tc>
      </w:tr>
      <w:tr>
        <w:trPr>
          <w:cantSplit/>
        </w:trPr>
        <w:tc>
          <w:tcPr>
            <w:tcW w:type="dxa" w:w="883"/>
            <w:vMerge w:val="restart"/>
          </w:tcPr>
          <w:p>
            <w:pPr>
              <w:jc w:val="center"/>
            </w:pPr>
            <w:r/>
            <w:r>
              <w:rPr>
                <w:rFonts w:ascii="Times New Roman" w:hAnsi="Times New Roman" w:eastAsia="Times New Roman"/>
                <w:b/>
                <w:sz w:val="14"/>
              </w:rPr>
              <w:t>3DGS-based</w:t>
            </w:r>
          </w:p>
        </w:tc>
        <w:tc>
          <w:tcPr>
            <w:tcW w:type="dxa" w:w="883"/>
          </w:tcPr>
          <w:p>
            <w:pPr>
              <w:jc w:val="left"/>
            </w:pPr>
            <w:r/>
            <w:r>
              <w:rPr>
                <w:rFonts w:ascii="Times New Roman" w:hAnsi="Times New Roman" w:eastAsia="Times New Roman"/>
                <w:b w:val="0"/>
                <w:sz w:val="16"/>
              </w:rPr>
              <w:t>3DGS</w:t>
            </w:r>
          </w:p>
        </w:tc>
        <w:tc>
          <w:tcPr>
            <w:tcW w:type="dxa" w:w="883"/>
          </w:tcPr>
          <w:p>
            <w:pPr>
              <w:jc w:val="center"/>
            </w:pPr>
            <w:r/>
            <w:r>
              <w:rPr>
                <w:rFonts w:ascii="Times New Roman" w:hAnsi="Times New Roman" w:eastAsia="Times New Roman"/>
                <w:b w:val="0"/>
                <w:sz w:val="16"/>
              </w:rPr>
              <w:t>10.80</w:t>
            </w:r>
          </w:p>
        </w:tc>
        <w:tc>
          <w:tcPr>
            <w:tcW w:type="dxa" w:w="883"/>
          </w:tcPr>
          <w:p>
            <w:pPr>
              <w:jc w:val="center"/>
            </w:pPr>
            <w:r/>
            <w:r>
              <w:rPr>
                <w:rFonts w:ascii="Times New Roman" w:hAnsi="Times New Roman" w:eastAsia="Times New Roman"/>
                <w:b w:val="0"/>
                <w:sz w:val="16"/>
              </w:rPr>
              <w:t>20.31</w:t>
            </w:r>
          </w:p>
        </w:tc>
        <w:tc>
          <w:tcPr>
            <w:tcW w:type="dxa" w:w="883"/>
          </w:tcPr>
          <w:p>
            <w:pPr>
              <w:jc w:val="center"/>
            </w:pPr>
            <w:r/>
            <w:r>
              <w:rPr>
                <w:rFonts w:ascii="Times New Roman" w:hAnsi="Times New Roman" w:eastAsia="Times New Roman"/>
                <w:b w:val="0"/>
                <w:sz w:val="16"/>
              </w:rPr>
              <w:t>0.899</w:t>
            </w:r>
          </w:p>
        </w:tc>
        <w:tc>
          <w:tcPr>
            <w:tcW w:type="dxa" w:w="883"/>
          </w:tcPr>
          <w:p>
            <w:pPr>
              <w:jc w:val="center"/>
            </w:pPr>
            <w:r/>
            <w:r>
              <w:rPr>
                <w:rFonts w:ascii="Times New Roman" w:hAnsi="Times New Roman" w:eastAsia="Times New Roman"/>
                <w:b w:val="0"/>
                <w:sz w:val="16"/>
              </w:rPr>
              <w:t>8.38</w:t>
            </w:r>
          </w:p>
        </w:tc>
        <w:tc>
          <w:tcPr>
            <w:tcW w:type="dxa" w:w="883"/>
          </w:tcPr>
          <w:p>
            <w:pPr>
              <w:jc w:val="center"/>
            </w:pPr>
            <w:r/>
            <w:r>
              <w:rPr>
                <w:rFonts w:ascii="Times New Roman" w:hAnsi="Times New Roman" w:eastAsia="Times New Roman"/>
                <w:b w:val="0"/>
                <w:sz w:val="16"/>
              </w:rPr>
              <w:t>22.12</w:t>
            </w:r>
          </w:p>
        </w:tc>
        <w:tc>
          <w:tcPr>
            <w:tcW w:type="dxa" w:w="883"/>
          </w:tcPr>
          <w:p>
            <w:pPr>
              <w:jc w:val="center"/>
            </w:pPr>
            <w:r/>
            <w:r>
              <w:rPr>
                <w:rFonts w:ascii="Times New Roman" w:hAnsi="Times New Roman" w:eastAsia="Times New Roman"/>
                <w:b w:val="0"/>
                <w:sz w:val="16"/>
              </w:rPr>
              <w:t>0.913</w:t>
            </w:r>
          </w:p>
        </w:tc>
        <w:tc>
          <w:tcPr>
            <w:tcW w:type="dxa" w:w="883"/>
          </w:tcPr>
          <w:p>
            <w:pPr>
              <w:jc w:val="center"/>
            </w:pPr>
            <w:r/>
            <w:r>
              <w:rPr>
                <w:rFonts w:ascii="Times New Roman" w:hAnsi="Times New Roman" w:eastAsia="Times New Roman"/>
                <w:b w:val="0"/>
                <w:sz w:val="16"/>
              </w:rPr>
              <w:t>6.42</w:t>
            </w:r>
          </w:p>
        </w:tc>
        <w:tc>
          <w:tcPr>
            <w:tcW w:type="dxa" w:w="883"/>
          </w:tcPr>
          <w:p>
            <w:pPr>
              <w:jc w:val="center"/>
            </w:pPr>
            <w:r/>
            <w:r>
              <w:rPr>
                <w:rFonts w:ascii="Times New Roman" w:hAnsi="Times New Roman" w:eastAsia="Times New Roman"/>
                <w:b w:val="0"/>
                <w:sz w:val="16"/>
              </w:rPr>
              <w:t>24.29</w:t>
            </w:r>
          </w:p>
        </w:tc>
        <w:tc>
          <w:tcPr>
            <w:tcW w:type="dxa" w:w="883"/>
          </w:tcPr>
          <w:p>
            <w:pPr>
              <w:jc w:val="center"/>
            </w:pPr>
            <w:r/>
            <w:r>
              <w:rPr>
                <w:rFonts w:ascii="Times New Roman" w:hAnsi="Times New Roman" w:eastAsia="Times New Roman"/>
                <w:b w:val="0"/>
                <w:sz w:val="16"/>
              </w:rPr>
              <w:t>0.930</w:t>
            </w:r>
          </w:p>
        </w:tc>
      </w:tr>
      <w:tr>
        <w:trPr>
          <w:cantSplit/>
        </w:trPr>
        <w:tc>
          <w:tcPr>
            <w:tcW w:type="dxa" w:w="883"/>
            <w:vMerge/>
          </w:tcPr>
          <w:p/>
        </w:tc>
        <w:tc>
          <w:tcPr>
            <w:tcW w:type="dxa" w:w="883"/>
          </w:tcPr>
          <w:p>
            <w:pPr>
              <w:jc w:val="left"/>
            </w:pPr>
            <w:r/>
            <w:r>
              <w:rPr>
                <w:rFonts w:ascii="Times New Roman" w:hAnsi="Times New Roman" w:eastAsia="Times New Roman"/>
                <w:b w:val="0"/>
                <w:sz w:val="16"/>
              </w:rPr>
              <w:t>CoR-GS</w:t>
            </w:r>
          </w:p>
        </w:tc>
        <w:tc>
          <w:tcPr>
            <w:tcW w:type="dxa" w:w="883"/>
          </w:tcPr>
          <w:p>
            <w:pPr>
              <w:jc w:val="center"/>
            </w:pPr>
            <w:r/>
            <w:r>
              <w:rPr>
                <w:rFonts w:ascii="Times New Roman" w:hAnsi="Times New Roman" w:eastAsia="Times New Roman"/>
                <w:b w:val="0"/>
                <w:sz w:val="16"/>
              </w:rPr>
              <w:t>11.76</w:t>
            </w:r>
          </w:p>
        </w:tc>
        <w:tc>
          <w:tcPr>
            <w:tcW w:type="dxa" w:w="883"/>
          </w:tcPr>
          <w:p>
            <w:pPr>
              <w:jc w:val="center"/>
            </w:pPr>
            <w:r/>
            <w:r>
              <w:rPr>
                <w:rFonts w:ascii="Times New Roman" w:hAnsi="Times New Roman" w:eastAsia="Times New Roman"/>
                <w:b w:val="0"/>
                <w:sz w:val="16"/>
              </w:rPr>
              <w:t>20.45</w:t>
            </w:r>
          </w:p>
        </w:tc>
        <w:tc>
          <w:tcPr>
            <w:tcW w:type="dxa" w:w="883"/>
          </w:tcPr>
          <w:p>
            <w:pPr>
              <w:jc w:val="center"/>
            </w:pPr>
            <w:r/>
            <w:r>
              <w:rPr>
                <w:rFonts w:ascii="Times New Roman" w:hAnsi="Times New Roman" w:eastAsia="Times New Roman"/>
                <w:b w:val="0"/>
                <w:sz w:val="16"/>
              </w:rPr>
              <w:t>0.856</w:t>
            </w:r>
          </w:p>
        </w:tc>
        <w:tc>
          <w:tcPr>
            <w:tcW w:type="dxa" w:w="883"/>
          </w:tcPr>
          <w:p>
            <w:pPr>
              <w:jc w:val="center"/>
            </w:pPr>
            <w:r/>
            <w:r>
              <w:rPr>
                <w:rFonts w:ascii="Times New Roman" w:hAnsi="Times New Roman" w:eastAsia="Times New Roman"/>
                <w:b w:val="0"/>
                <w:sz w:val="16"/>
              </w:rPr>
              <w:t>9.28</w:t>
            </w:r>
          </w:p>
        </w:tc>
        <w:tc>
          <w:tcPr>
            <w:tcW w:type="dxa" w:w="883"/>
          </w:tcPr>
          <w:p>
            <w:pPr>
              <w:jc w:val="center"/>
            </w:pPr>
            <w:r/>
            <w:r>
              <w:rPr>
                <w:rFonts w:ascii="Times New Roman" w:hAnsi="Times New Roman" w:eastAsia="Times New Roman"/>
                <w:b w:val="0"/>
                <w:sz w:val="16"/>
              </w:rPr>
              <w:t>22.57</w:t>
            </w:r>
          </w:p>
        </w:tc>
        <w:tc>
          <w:tcPr>
            <w:tcW w:type="dxa" w:w="883"/>
          </w:tcPr>
          <w:p>
            <w:pPr>
              <w:jc w:val="center"/>
            </w:pPr>
            <w:r/>
            <w:r>
              <w:rPr>
                <w:rFonts w:ascii="Times New Roman" w:hAnsi="Times New Roman" w:eastAsia="Times New Roman"/>
                <w:b w:val="0"/>
                <w:sz w:val="16"/>
              </w:rPr>
              <w:t>0.901</w:t>
            </w:r>
          </w:p>
        </w:tc>
        <w:tc>
          <w:tcPr>
            <w:tcW w:type="dxa" w:w="883"/>
          </w:tcPr>
          <w:p>
            <w:pPr>
              <w:jc w:val="center"/>
            </w:pPr>
            <w:r/>
            <w:r>
              <w:rPr>
                <w:rFonts w:ascii="Times New Roman" w:hAnsi="Times New Roman" w:eastAsia="Times New Roman"/>
                <w:b w:val="0"/>
                <w:sz w:val="16"/>
              </w:rPr>
              <w:t>7.04</w:t>
            </w:r>
          </w:p>
        </w:tc>
        <w:tc>
          <w:tcPr>
            <w:tcW w:type="dxa" w:w="883"/>
          </w:tcPr>
          <w:p>
            <w:pPr>
              <w:jc w:val="center"/>
            </w:pPr>
            <w:r/>
            <w:r>
              <w:rPr>
                <w:rFonts w:ascii="Times New Roman" w:hAnsi="Times New Roman" w:eastAsia="Times New Roman"/>
                <w:b w:val="0"/>
                <w:sz w:val="16"/>
              </w:rPr>
              <w:t>24.73</w:t>
            </w:r>
          </w:p>
        </w:tc>
        <w:tc>
          <w:tcPr>
            <w:tcW w:type="dxa" w:w="883"/>
          </w:tcPr>
          <w:p>
            <w:pPr>
              <w:jc w:val="center"/>
            </w:pPr>
            <w:r/>
            <w:r>
              <w:rPr>
                <w:rFonts w:ascii="Times New Roman" w:hAnsi="Times New Roman" w:eastAsia="Times New Roman"/>
                <w:b w:val="0"/>
                <w:sz w:val="16"/>
              </w:rPr>
              <w:t>0.926</w:t>
            </w:r>
          </w:p>
        </w:tc>
      </w:tr>
      <w:tr>
        <w:trPr>
          <w:cantSplit/>
        </w:trPr>
        <w:tc>
          <w:tcPr>
            <w:tcW w:type="dxa" w:w="883"/>
            <w:vMerge/>
          </w:tcPr>
          <w:p/>
        </w:tc>
        <w:tc>
          <w:tcPr>
            <w:tcW w:type="dxa" w:w="883"/>
          </w:tcPr>
          <w:p>
            <w:pPr>
              <w:jc w:val="left"/>
            </w:pPr>
            <w:r/>
            <w:r>
              <w:rPr>
                <w:rFonts w:ascii="Times New Roman" w:hAnsi="Times New Roman" w:eastAsia="Times New Roman"/>
                <w:b w:val="0"/>
                <w:sz w:val="16"/>
              </w:rPr>
              <w:t>DropGaussian</w:t>
            </w:r>
          </w:p>
        </w:tc>
        <w:tc>
          <w:tcPr>
            <w:tcW w:type="dxa" w:w="883"/>
          </w:tcPr>
          <w:p>
            <w:pPr>
              <w:jc w:val="center"/>
            </w:pPr>
            <w:r/>
            <w:r>
              <w:rPr>
                <w:rFonts w:ascii="Times New Roman" w:hAnsi="Times New Roman" w:eastAsia="Times New Roman"/>
                <w:b w:val="0"/>
                <w:sz w:val="16"/>
              </w:rPr>
              <w:t>11.57</w:t>
            </w:r>
          </w:p>
        </w:tc>
        <w:tc>
          <w:tcPr>
            <w:tcW w:type="dxa" w:w="883"/>
          </w:tcPr>
          <w:p>
            <w:pPr>
              <w:jc w:val="center"/>
            </w:pPr>
            <w:r/>
            <w:r>
              <w:rPr>
                <w:rFonts w:ascii="Times New Roman" w:hAnsi="Times New Roman" w:eastAsia="Times New Roman"/>
                <w:b w:val="0"/>
                <w:sz w:val="16"/>
              </w:rPr>
              <w:t>21.76</w:t>
            </w:r>
          </w:p>
        </w:tc>
        <w:tc>
          <w:tcPr>
            <w:tcW w:type="dxa" w:w="883"/>
          </w:tcPr>
          <w:p>
            <w:pPr>
              <w:jc w:val="center"/>
            </w:pPr>
            <w:r/>
            <w:r>
              <w:rPr>
                <w:rFonts w:ascii="Times New Roman" w:hAnsi="Times New Roman" w:eastAsia="Times New Roman"/>
                <w:b w:val="0"/>
                <w:sz w:val="16"/>
              </w:rPr>
              <w:t>0.837</w:t>
            </w:r>
          </w:p>
        </w:tc>
        <w:tc>
          <w:tcPr>
            <w:tcW w:type="dxa" w:w="883"/>
          </w:tcPr>
          <w:p>
            <w:pPr>
              <w:jc w:val="center"/>
            </w:pPr>
            <w:r/>
            <w:r>
              <w:rPr>
                <w:rFonts w:ascii="Times New Roman" w:hAnsi="Times New Roman" w:eastAsia="Times New Roman"/>
                <w:b w:val="0"/>
                <w:sz w:val="16"/>
              </w:rPr>
              <w:t>8.61</w:t>
            </w:r>
          </w:p>
        </w:tc>
        <w:tc>
          <w:tcPr>
            <w:tcW w:type="dxa" w:w="883"/>
          </w:tcPr>
          <w:p>
            <w:pPr>
              <w:jc w:val="center"/>
            </w:pPr>
            <w:r/>
            <w:r>
              <w:rPr>
                <w:rFonts w:ascii="Times New Roman" w:hAnsi="Times New Roman" w:eastAsia="Times New Roman"/>
                <w:b w:val="0"/>
                <w:sz w:val="16"/>
              </w:rPr>
              <w:t>22.98</w:t>
            </w:r>
          </w:p>
        </w:tc>
        <w:tc>
          <w:tcPr>
            <w:tcW w:type="dxa" w:w="883"/>
          </w:tcPr>
          <w:p>
            <w:pPr>
              <w:jc w:val="center"/>
            </w:pPr>
            <w:r/>
            <w:r>
              <w:rPr>
                <w:rFonts w:ascii="Times New Roman" w:hAnsi="Times New Roman" w:eastAsia="Times New Roman"/>
                <w:b w:val="0"/>
                <w:sz w:val="16"/>
              </w:rPr>
              <w:t>0.895</w:t>
            </w:r>
          </w:p>
        </w:tc>
        <w:tc>
          <w:tcPr>
            <w:tcW w:type="dxa" w:w="883"/>
          </w:tcPr>
          <w:p>
            <w:pPr>
              <w:jc w:val="center"/>
            </w:pPr>
            <w:r/>
            <w:r>
              <w:rPr>
                <w:rFonts w:ascii="Times New Roman" w:hAnsi="Times New Roman" w:eastAsia="Times New Roman"/>
                <w:b w:val="0"/>
                <w:sz w:val="16"/>
              </w:rPr>
              <w:t>8.02</w:t>
            </w:r>
          </w:p>
        </w:tc>
        <w:tc>
          <w:tcPr>
            <w:tcW w:type="dxa" w:w="883"/>
          </w:tcPr>
          <w:p>
            <w:pPr>
              <w:jc w:val="center"/>
            </w:pPr>
            <w:r/>
            <w:r>
              <w:rPr>
                <w:rFonts w:ascii="Times New Roman" w:hAnsi="Times New Roman" w:eastAsia="Times New Roman"/>
                <w:b w:val="0"/>
                <w:sz w:val="16"/>
              </w:rPr>
              <w:t>24.10</w:t>
            </w:r>
          </w:p>
        </w:tc>
        <w:tc>
          <w:tcPr>
            <w:tcW w:type="dxa" w:w="883"/>
          </w:tcPr>
          <w:p>
            <w:pPr>
              <w:jc w:val="center"/>
            </w:pPr>
            <w:r/>
            <w:r>
              <w:rPr>
                <w:rFonts w:ascii="Times New Roman" w:hAnsi="Times New Roman" w:eastAsia="Times New Roman"/>
                <w:b w:val="0"/>
                <w:sz w:val="16"/>
              </w:rPr>
              <w:t>0.915</w:t>
            </w:r>
          </w:p>
        </w:tc>
      </w:tr>
      <w:tr>
        <w:trPr>
          <w:cantSplit/>
        </w:trPr>
        <w:tc>
          <w:tcPr>
            <w:tcW w:type="dxa" w:w="883"/>
            <w:vMerge/>
          </w:tcPr>
          <w:p/>
        </w:tc>
        <w:tc>
          <w:tcPr>
            <w:tcW w:type="dxa" w:w="883"/>
          </w:tcPr>
          <w:p>
            <w:pPr>
              <w:jc w:val="left"/>
            </w:pPr>
            <w:r/>
            <w:r>
              <w:rPr>
                <w:rFonts w:ascii="Times New Roman" w:hAnsi="Times New Roman" w:eastAsia="Times New Roman"/>
                <w:b w:val="0"/>
                <w:sz w:val="16"/>
              </w:rPr>
              <w:t>D²GS</w:t>
            </w:r>
          </w:p>
        </w:tc>
        <w:tc>
          <w:tcPr>
            <w:tcW w:type="dxa" w:w="883"/>
          </w:tcPr>
          <w:p>
            <w:pPr>
              <w:jc w:val="center"/>
            </w:pPr>
            <w:r/>
            <w:r>
              <w:rPr>
                <w:rFonts w:ascii="Times New Roman" w:hAnsi="Times New Roman" w:eastAsia="Times New Roman"/>
                <w:b w:val="0"/>
                <w:sz w:val="16"/>
              </w:rPr>
              <w:t>2.58</w:t>
            </w:r>
          </w:p>
        </w:tc>
        <w:tc>
          <w:tcPr>
            <w:tcW w:type="dxa" w:w="883"/>
          </w:tcPr>
          <w:p>
            <w:pPr>
              <w:jc w:val="center"/>
            </w:pPr>
            <w:r/>
            <w:r>
              <w:rPr>
                <w:rFonts w:ascii="Times New Roman" w:hAnsi="Times New Roman" w:eastAsia="Times New Roman"/>
                <w:b w:val="0"/>
                <w:sz w:val="16"/>
              </w:rPr>
              <w:t>22.35</w:t>
            </w:r>
          </w:p>
        </w:tc>
        <w:tc>
          <w:tcPr>
            <w:tcW w:type="dxa" w:w="883"/>
          </w:tcPr>
          <w:p>
            <w:pPr>
              <w:jc w:val="center"/>
            </w:pPr>
            <w:r/>
            <w:r>
              <w:rPr>
                <w:rFonts w:ascii="Times New Roman" w:hAnsi="Times New Roman" w:eastAsia="Times New Roman"/>
                <w:b w:val="0"/>
                <w:sz w:val="16"/>
              </w:rPr>
              <w:t>0.923</w:t>
            </w:r>
          </w:p>
        </w:tc>
        <w:tc>
          <w:tcPr>
            <w:tcW w:type="dxa" w:w="883"/>
          </w:tcPr>
          <w:p>
            <w:pPr>
              <w:jc w:val="center"/>
            </w:pPr>
            <w:r/>
            <w:r>
              <w:rPr>
                <w:rFonts w:ascii="Times New Roman" w:hAnsi="Times New Roman" w:eastAsia="Times New Roman"/>
                <w:b w:val="0"/>
                <w:sz w:val="16"/>
              </w:rPr>
              <w:t>2.34</w:t>
            </w:r>
          </w:p>
        </w:tc>
        <w:tc>
          <w:tcPr>
            <w:tcW w:type="dxa" w:w="883"/>
          </w:tcPr>
          <w:p>
            <w:pPr>
              <w:jc w:val="center"/>
            </w:pPr>
            <w:r/>
            <w:r>
              <w:rPr>
                <w:rFonts w:ascii="Times New Roman" w:hAnsi="Times New Roman" w:eastAsia="Times New Roman"/>
                <w:b w:val="0"/>
                <w:sz w:val="16"/>
              </w:rPr>
              <w:t>24.74</w:t>
            </w:r>
          </w:p>
        </w:tc>
        <w:tc>
          <w:tcPr>
            <w:tcW w:type="dxa" w:w="883"/>
          </w:tcPr>
          <w:p>
            <w:pPr>
              <w:jc w:val="center"/>
            </w:pPr>
            <w:r/>
            <w:r>
              <w:rPr>
                <w:rFonts w:ascii="Times New Roman" w:hAnsi="Times New Roman" w:eastAsia="Times New Roman"/>
                <w:b w:val="0"/>
                <w:sz w:val="16"/>
              </w:rPr>
              <w:t>0.937</w:t>
            </w:r>
          </w:p>
        </w:tc>
        <w:tc>
          <w:tcPr>
            <w:tcW w:type="dxa" w:w="883"/>
          </w:tcPr>
          <w:p>
            <w:pPr>
              <w:jc w:val="center"/>
            </w:pPr>
            <w:r/>
            <w:r>
              <w:rPr>
                <w:rFonts w:ascii="Times New Roman" w:hAnsi="Times New Roman" w:eastAsia="Times New Roman"/>
                <w:b w:val="0"/>
                <w:sz w:val="16"/>
              </w:rPr>
              <w:t>2.11</w:t>
            </w:r>
          </w:p>
        </w:tc>
        <w:tc>
          <w:tcPr>
            <w:tcW w:type="dxa" w:w="883"/>
          </w:tcPr>
          <w:p>
            <w:pPr>
              <w:jc w:val="center"/>
            </w:pPr>
            <w:r/>
            <w:r>
              <w:rPr>
                <w:rFonts w:ascii="Times New Roman" w:hAnsi="Times New Roman" w:eastAsia="Times New Roman"/>
                <w:b w:val="0"/>
                <w:sz w:val="16"/>
              </w:rPr>
              <w:t>27.13</w:t>
            </w:r>
          </w:p>
        </w:tc>
        <w:tc>
          <w:tcPr>
            <w:tcW w:type="dxa" w:w="883"/>
          </w:tcPr>
          <w:p>
            <w:pPr>
              <w:jc w:val="center"/>
            </w:pPr>
            <w:r/>
            <w:r>
              <w:rPr>
                <w:rFonts w:ascii="Times New Roman" w:hAnsi="Times New Roman" w:eastAsia="Times New Roman"/>
                <w:b w:val="0"/>
                <w:sz w:val="16"/>
              </w:rPr>
              <w:t>0.941</w:t>
            </w:r>
          </w:p>
        </w:tc>
      </w:tr>
      <w:tr>
        <w:trPr>
          <w:cantSplit/>
        </w:trPr>
        <w:tc>
          <w:tcPr>
            <w:tcW w:type="dxa" w:w="883"/>
            <w:vMerge/>
          </w:tcPr>
          <w:p/>
        </w:tc>
        <w:tc>
          <w:tcPr>
            <w:tcW w:type="dxa" w:w="883"/>
          </w:tcPr>
          <w:p>
            <w:pPr>
              <w:jc w:val="left"/>
            </w:pPr>
            <w:r/>
            <w:r>
              <w:rPr>
                <w:rFonts w:ascii="Times New Roman" w:hAnsi="Times New Roman" w:eastAsia="Times New Roman"/>
                <w:b/>
                <w:sz w:val="16"/>
              </w:rPr>
              <w:t>SynGS (Ours)</w:t>
            </w:r>
          </w:p>
        </w:tc>
        <w:tc>
          <w:tcPr>
            <w:tcW w:type="dxa" w:w="883"/>
          </w:tcPr>
          <w:p>
            <w:pPr>
              <w:jc w:val="center"/>
            </w:pPr>
            <w:r/>
            <w:r>
              <w:rPr>
                <w:rFonts w:ascii="Times New Roman" w:hAnsi="Times New Roman" w:eastAsia="Times New Roman"/>
                <w:b w:val="0"/>
                <w:sz w:val="16"/>
              </w:rPr>
              <w:t>3.89</w:t>
            </w:r>
          </w:p>
        </w:tc>
        <w:tc>
          <w:tcPr>
            <w:tcW w:type="dxa" w:w="883"/>
          </w:tcPr>
          <w:p>
            <w:pPr>
              <w:jc w:val="center"/>
            </w:pPr>
            <w:r/>
            <w:r>
              <w:rPr>
                <w:rFonts w:ascii="Times New Roman" w:hAnsi="Times New Roman" w:eastAsia="Times New Roman"/>
                <w:b w:val="0"/>
                <w:sz w:val="16"/>
              </w:rPr>
              <w:t>25.91</w:t>
            </w:r>
          </w:p>
        </w:tc>
        <w:tc>
          <w:tcPr>
            <w:tcW w:type="dxa" w:w="883"/>
          </w:tcPr>
          <w:p>
            <w:pPr>
              <w:jc w:val="center"/>
            </w:pPr>
            <w:r/>
            <w:r>
              <w:rPr>
                <w:rFonts w:ascii="Times New Roman" w:hAnsi="Times New Roman" w:eastAsia="Times New Roman"/>
                <w:b w:val="0"/>
                <w:sz w:val="16"/>
              </w:rPr>
              <w:t>0.948</w:t>
            </w:r>
          </w:p>
        </w:tc>
        <w:tc>
          <w:tcPr>
            <w:tcW w:type="dxa" w:w="883"/>
          </w:tcPr>
          <w:p>
            <w:pPr>
              <w:jc w:val="center"/>
            </w:pPr>
            <w:r/>
            <w:r>
              <w:rPr>
                <w:rFonts w:ascii="Times New Roman" w:hAnsi="Times New Roman" w:eastAsia="Times New Roman"/>
                <w:b w:val="0"/>
                <w:sz w:val="16"/>
              </w:rPr>
              <w:t>3.43</w:t>
            </w:r>
          </w:p>
        </w:tc>
        <w:tc>
          <w:tcPr>
            <w:tcW w:type="dxa" w:w="883"/>
          </w:tcPr>
          <w:p>
            <w:pPr>
              <w:jc w:val="center"/>
            </w:pPr>
            <w:r/>
            <w:r>
              <w:rPr>
                <w:rFonts w:ascii="Times New Roman" w:hAnsi="Times New Roman" w:eastAsia="Times New Roman"/>
                <w:b w:val="0"/>
                <w:sz w:val="16"/>
              </w:rPr>
              <w:t>27.93</w:t>
            </w:r>
          </w:p>
        </w:tc>
        <w:tc>
          <w:tcPr>
            <w:tcW w:type="dxa" w:w="883"/>
          </w:tcPr>
          <w:p>
            <w:pPr>
              <w:jc w:val="center"/>
            </w:pPr>
            <w:r/>
            <w:r>
              <w:rPr>
                <w:rFonts w:ascii="Times New Roman" w:hAnsi="Times New Roman" w:eastAsia="Times New Roman"/>
                <w:b w:val="0"/>
                <w:sz w:val="16"/>
              </w:rPr>
              <w:t>0.953</w:t>
            </w:r>
          </w:p>
        </w:tc>
        <w:tc>
          <w:tcPr>
            <w:tcW w:type="dxa" w:w="883"/>
          </w:tcPr>
          <w:p>
            <w:pPr>
              <w:jc w:val="center"/>
            </w:pPr>
            <w:r/>
            <w:r>
              <w:rPr>
                <w:rFonts w:ascii="Times New Roman" w:hAnsi="Times New Roman" w:eastAsia="Times New Roman"/>
                <w:b w:val="0"/>
                <w:sz w:val="16"/>
              </w:rPr>
              <w:t>3.02</w:t>
            </w:r>
          </w:p>
        </w:tc>
        <w:tc>
          <w:tcPr>
            <w:tcW w:type="dxa" w:w="883"/>
          </w:tcPr>
          <w:p>
            <w:pPr>
              <w:jc w:val="center"/>
            </w:pPr>
            <w:r/>
            <w:r>
              <w:rPr>
                <w:rFonts w:ascii="Times New Roman" w:hAnsi="Times New Roman" w:eastAsia="Times New Roman"/>
                <w:b w:val="0"/>
                <w:sz w:val="16"/>
              </w:rPr>
              <w:t>29.21</w:t>
            </w:r>
          </w:p>
        </w:tc>
        <w:tc>
          <w:tcPr>
            <w:tcW w:type="dxa" w:w="883"/>
          </w:tcPr>
          <w:p>
            <w:pPr>
              <w:jc w:val="center"/>
            </w:pPr>
            <w:r/>
            <w:r>
              <w:rPr>
                <w:rFonts w:ascii="Times New Roman" w:hAnsi="Times New Roman" w:eastAsia="Times New Roman"/>
                <w:b w:val="0"/>
                <w:sz w:val="16"/>
              </w:rPr>
              <w:t>0.961</w:t>
            </w:r>
          </w:p>
        </w:tc>
      </w:tr>
    </w:tbl>
    <w:p>
      <w:pPr>
        <w:pageBreakBefore/>
        <w:pStyle w:val="SPIEtablecaption"/>
        <w:jc w:val="both"/>
        <w:keepNext/>
      </w:pPr>
      <w:r>
        <w:rPr>
          <w:rFonts w:ascii="Times New Roman" w:hAnsi="Times New Roman" w:eastAsia="Times New Roman"/>
          <w:sz w:val="18"/>
        </w:rPr>
        <w:t xml:space="preserve">Table 2. Performance comparisons of sparse-view synthesis on LLFF (4/6/9 views).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883"/>
        <w:gridCol w:w="883"/>
        <w:gridCol w:w="883"/>
        <w:gridCol w:w="883"/>
        <w:gridCol w:w="883"/>
        <w:gridCol w:w="883"/>
        <w:gridCol w:w="883"/>
        <w:gridCol w:w="883"/>
        <w:gridCol w:w="883"/>
        <w:gridCol w:w="883"/>
        <w:gridCol w:w="883"/>
      </w:tblGrid>
      <w:tr>
        <w:trPr>
          <w:cantSplit/>
        </w:trPr>
        <w:tc>
          <w:tcPr>
            <w:tcW w:type="dxa" w:w="883"/>
          </w:tcPr>
          <w:p>
            <w:pPr>
              <w:jc w:val="center"/>
            </w:pPr>
            <w:r/>
            <w:r>
              <w:rPr>
                <w:rFonts w:ascii="Times New Roman" w:hAnsi="Times New Roman" w:eastAsia="Times New Roman"/>
                <w:b w:val="0"/>
                <w:sz w:val="16"/>
              </w:rPr>
            </w:r>
          </w:p>
        </w:tc>
        <w:tc>
          <w:tcPr>
            <w:tcW w:type="dxa" w:w="883"/>
          </w:tcPr>
          <w:p>
            <w:pPr>
              <w:jc w:val="center"/>
            </w:pPr>
            <w:r/>
            <w:r>
              <w:rPr>
                <w:rFonts w:ascii="Times New Roman" w:hAnsi="Times New Roman" w:eastAsia="Times New Roman"/>
                <w:b/>
                <w:sz w:val="16"/>
              </w:rPr>
              <w:t>Methods</w:t>
            </w:r>
          </w:p>
        </w:tc>
        <w:tc>
          <w:tcPr>
            <w:tcW w:type="dxa" w:w="2649"/>
            <w:gridSpan w:val="3"/>
          </w:tcPr>
          <w:p>
            <w:pPr>
              <w:jc w:val="center"/>
            </w:pPr>
            <w:r/>
            <w:r>
              <w:rPr>
                <w:rFonts w:ascii="Times New Roman" w:hAnsi="Times New Roman" w:eastAsia="Times New Roman"/>
                <w:b/>
                <w:sz w:val="16"/>
              </w:rPr>
              <w:t>LLFF (4-view)</w:t>
            </w:r>
          </w:p>
        </w:tc>
        <w:tc>
          <w:tcPr>
            <w:tcW w:type="dxa" w:w="2649"/>
            <w:gridSpan w:val="3"/>
          </w:tcPr>
          <w:p>
            <w:pPr>
              <w:jc w:val="center"/>
            </w:pPr>
            <w:r/>
            <w:r>
              <w:rPr>
                <w:rFonts w:ascii="Times New Roman" w:hAnsi="Times New Roman" w:eastAsia="Times New Roman"/>
                <w:b/>
                <w:sz w:val="16"/>
              </w:rPr>
              <w:t>LLFF (6-view)</w:t>
            </w:r>
          </w:p>
        </w:tc>
        <w:tc>
          <w:tcPr>
            <w:tcW w:type="dxa" w:w="2649"/>
            <w:gridSpan w:val="3"/>
          </w:tcPr>
          <w:p>
            <w:pPr>
              <w:jc w:val="center"/>
            </w:pPr>
            <w:r/>
            <w:r>
              <w:rPr>
                <w:rFonts w:ascii="Times New Roman" w:hAnsi="Times New Roman" w:eastAsia="Times New Roman"/>
                <w:b/>
                <w:sz w:val="16"/>
              </w:rPr>
              <w:t>LLFF (9-view)</w:t>
            </w:r>
          </w:p>
        </w:tc>
      </w:tr>
      <w:tr>
        <w:trPr>
          <w:cantSplit/>
        </w:trPr>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r>
      <w:tr>
        <w:trPr>
          <w:cantSplit/>
        </w:trPr>
        <w:tc>
          <w:tcPr>
            <w:tcW w:type="dxa" w:w="883"/>
            <w:vMerge w:val="restart"/>
          </w:tcPr>
          <w:p>
            <w:pPr>
              <w:jc w:val="center"/>
            </w:pPr>
            <w:r/>
            <w:r>
              <w:rPr>
                <w:rFonts w:ascii="Times New Roman" w:hAnsi="Times New Roman" w:eastAsia="Times New Roman"/>
                <w:b/>
                <w:sz w:val="14"/>
              </w:rPr>
              <w:t>NeRF-based</w:t>
            </w:r>
          </w:p>
        </w:tc>
        <w:tc>
          <w:tcPr>
            <w:tcW w:type="dxa" w:w="883"/>
          </w:tcPr>
          <w:p>
            <w:pPr>
              <w:jc w:val="left"/>
            </w:pPr>
            <w:r/>
            <w:r>
              <w:rPr>
                <w:rFonts w:ascii="Times New Roman" w:hAnsi="Times New Roman" w:eastAsia="Times New Roman"/>
                <w:b w:val="0"/>
                <w:sz w:val="16"/>
              </w:rPr>
              <w:t>RegNeRF</w:t>
            </w:r>
          </w:p>
        </w:tc>
        <w:tc>
          <w:tcPr>
            <w:tcW w:type="dxa" w:w="883"/>
          </w:tcPr>
          <w:p>
            <w:pPr>
              <w:jc w:val="center"/>
            </w:pPr>
            <w:r/>
            <w:r>
              <w:rPr>
                <w:rFonts w:ascii="Times New Roman" w:hAnsi="Times New Roman" w:eastAsia="Times New Roman"/>
                <w:b w:val="0"/>
                <w:sz w:val="16"/>
              </w:rPr>
              <w:t>29.65</w:t>
            </w:r>
          </w:p>
        </w:tc>
        <w:tc>
          <w:tcPr>
            <w:tcW w:type="dxa" w:w="883"/>
          </w:tcPr>
          <w:p>
            <w:pPr>
              <w:jc w:val="center"/>
            </w:pPr>
            <w:r/>
            <w:r>
              <w:rPr>
                <w:rFonts w:ascii="Times New Roman" w:hAnsi="Times New Roman" w:eastAsia="Times New Roman"/>
                <w:b w:val="0"/>
                <w:sz w:val="16"/>
              </w:rPr>
              <w:t>18.55</w:t>
            </w:r>
          </w:p>
        </w:tc>
        <w:tc>
          <w:tcPr>
            <w:tcW w:type="dxa" w:w="883"/>
          </w:tcPr>
          <w:p>
            <w:pPr>
              <w:jc w:val="center"/>
            </w:pPr>
            <w:r/>
            <w:r>
              <w:rPr>
                <w:rFonts w:ascii="Times New Roman" w:hAnsi="Times New Roman" w:eastAsia="Times New Roman"/>
                <w:b w:val="0"/>
                <w:sz w:val="16"/>
              </w:rPr>
              <w:t>0.587</w:t>
            </w:r>
          </w:p>
        </w:tc>
        <w:tc>
          <w:tcPr>
            <w:tcW w:type="dxa" w:w="883"/>
          </w:tcPr>
          <w:p>
            <w:pPr>
              <w:jc w:val="center"/>
            </w:pPr>
            <w:r/>
            <w:r>
              <w:rPr>
                <w:rFonts w:ascii="Times New Roman" w:hAnsi="Times New Roman" w:eastAsia="Times New Roman"/>
                <w:b w:val="0"/>
                <w:sz w:val="16"/>
              </w:rPr>
              <w:t>22.61</w:t>
            </w:r>
          </w:p>
        </w:tc>
        <w:tc>
          <w:tcPr>
            <w:tcW w:type="dxa" w:w="883"/>
          </w:tcPr>
          <w:p>
            <w:pPr>
              <w:jc w:val="center"/>
            </w:pPr>
            <w:r/>
            <w:r>
              <w:rPr>
                <w:rFonts w:ascii="Times New Roman" w:hAnsi="Times New Roman" w:eastAsia="Times New Roman"/>
                <w:b w:val="0"/>
                <w:sz w:val="16"/>
              </w:rPr>
              <w:t>19.08</w:t>
            </w:r>
          </w:p>
        </w:tc>
        <w:tc>
          <w:tcPr>
            <w:tcW w:type="dxa" w:w="883"/>
          </w:tcPr>
          <w:p>
            <w:pPr>
              <w:jc w:val="center"/>
            </w:pPr>
            <w:r/>
            <w:r>
              <w:rPr>
                <w:rFonts w:ascii="Times New Roman" w:hAnsi="Times New Roman" w:eastAsia="Times New Roman"/>
                <w:b w:val="0"/>
                <w:sz w:val="16"/>
              </w:rPr>
              <w:t>0.760</w:t>
            </w:r>
          </w:p>
        </w:tc>
        <w:tc>
          <w:tcPr>
            <w:tcW w:type="dxa" w:w="883"/>
          </w:tcPr>
          <w:p>
            <w:pPr>
              <w:jc w:val="center"/>
            </w:pPr>
            <w:r/>
            <w:r>
              <w:rPr>
                <w:rFonts w:ascii="Times New Roman" w:hAnsi="Times New Roman" w:eastAsia="Times New Roman"/>
                <w:b w:val="0"/>
                <w:sz w:val="16"/>
              </w:rPr>
              <w:t>18.39</w:t>
            </w:r>
          </w:p>
        </w:tc>
        <w:tc>
          <w:tcPr>
            <w:tcW w:type="dxa" w:w="883"/>
          </w:tcPr>
          <w:p>
            <w:pPr>
              <w:jc w:val="center"/>
            </w:pPr>
            <w:r/>
            <w:r>
              <w:rPr>
                <w:rFonts w:ascii="Times New Roman" w:hAnsi="Times New Roman" w:eastAsia="Times New Roman"/>
                <w:b w:val="0"/>
                <w:sz w:val="16"/>
              </w:rPr>
              <w:t>22.86</w:t>
            </w:r>
          </w:p>
        </w:tc>
        <w:tc>
          <w:tcPr>
            <w:tcW w:type="dxa" w:w="883"/>
          </w:tcPr>
          <w:p>
            <w:pPr>
              <w:jc w:val="center"/>
            </w:pPr>
            <w:r/>
            <w:r>
              <w:rPr>
                <w:rFonts w:ascii="Times New Roman" w:hAnsi="Times New Roman" w:eastAsia="Times New Roman"/>
                <w:b w:val="0"/>
                <w:sz w:val="16"/>
              </w:rPr>
              <w:t>0.820</w:t>
            </w:r>
          </w:p>
        </w:tc>
      </w:tr>
      <w:tr>
        <w:trPr>
          <w:cantSplit/>
        </w:trPr>
        <w:tc>
          <w:tcPr>
            <w:tcW w:type="dxa" w:w="883"/>
            <w:vMerge/>
          </w:tcPr>
          <w:p/>
        </w:tc>
        <w:tc>
          <w:tcPr>
            <w:tcW w:type="dxa" w:w="883"/>
          </w:tcPr>
          <w:p>
            <w:pPr>
              <w:jc w:val="left"/>
            </w:pPr>
            <w:r/>
            <w:r>
              <w:rPr>
                <w:rFonts w:ascii="Times New Roman" w:hAnsi="Times New Roman" w:eastAsia="Times New Roman"/>
                <w:b w:val="0"/>
                <w:sz w:val="16"/>
              </w:rPr>
              <w:t>FreeNeRF</w:t>
            </w:r>
          </w:p>
        </w:tc>
        <w:tc>
          <w:tcPr>
            <w:tcW w:type="dxa" w:w="883"/>
          </w:tcPr>
          <w:p>
            <w:pPr>
              <w:jc w:val="center"/>
            </w:pPr>
            <w:r/>
            <w:r>
              <w:rPr>
                <w:rFonts w:ascii="Times New Roman" w:hAnsi="Times New Roman" w:eastAsia="Times New Roman"/>
                <w:b w:val="0"/>
                <w:sz w:val="16"/>
              </w:rPr>
              <w:t>30.85</w:t>
            </w:r>
          </w:p>
        </w:tc>
        <w:tc>
          <w:tcPr>
            <w:tcW w:type="dxa" w:w="883"/>
          </w:tcPr>
          <w:p>
            <w:pPr>
              <w:jc w:val="center"/>
            </w:pPr>
            <w:r/>
            <w:r>
              <w:rPr>
                <w:rFonts w:ascii="Times New Roman" w:hAnsi="Times New Roman" w:eastAsia="Times New Roman"/>
                <w:b w:val="0"/>
                <w:sz w:val="16"/>
              </w:rPr>
              <w:t>19.09</w:t>
            </w:r>
          </w:p>
        </w:tc>
        <w:tc>
          <w:tcPr>
            <w:tcW w:type="dxa" w:w="883"/>
          </w:tcPr>
          <w:p>
            <w:pPr>
              <w:jc w:val="center"/>
            </w:pPr>
            <w:r/>
            <w:r>
              <w:rPr>
                <w:rFonts w:ascii="Times New Roman" w:hAnsi="Times New Roman" w:eastAsia="Times New Roman"/>
                <w:b w:val="0"/>
                <w:sz w:val="16"/>
              </w:rPr>
              <w:t>0.624</w:t>
            </w:r>
          </w:p>
        </w:tc>
        <w:tc>
          <w:tcPr>
            <w:tcW w:type="dxa" w:w="883"/>
          </w:tcPr>
          <w:p>
            <w:pPr>
              <w:jc w:val="center"/>
            </w:pPr>
            <w:r/>
            <w:r>
              <w:rPr>
                <w:rFonts w:ascii="Times New Roman" w:hAnsi="Times New Roman" w:eastAsia="Times New Roman"/>
                <w:b w:val="0"/>
                <w:sz w:val="16"/>
              </w:rPr>
              <w:t>23.06</w:t>
            </w:r>
          </w:p>
        </w:tc>
        <w:tc>
          <w:tcPr>
            <w:tcW w:type="dxa" w:w="883"/>
          </w:tcPr>
          <w:p>
            <w:pPr>
              <w:jc w:val="center"/>
            </w:pPr>
            <w:r/>
            <w:r>
              <w:rPr>
                <w:rFonts w:ascii="Times New Roman" w:hAnsi="Times New Roman" w:eastAsia="Times New Roman"/>
                <w:b w:val="0"/>
                <w:sz w:val="16"/>
              </w:rPr>
              <w:t>19.81</w:t>
            </w:r>
          </w:p>
        </w:tc>
        <w:tc>
          <w:tcPr>
            <w:tcW w:type="dxa" w:w="883"/>
          </w:tcPr>
          <w:p>
            <w:pPr>
              <w:jc w:val="center"/>
            </w:pPr>
            <w:r/>
            <w:r>
              <w:rPr>
                <w:rFonts w:ascii="Times New Roman" w:hAnsi="Times New Roman" w:eastAsia="Times New Roman"/>
                <w:b w:val="0"/>
                <w:sz w:val="16"/>
              </w:rPr>
              <w:t>0.763</w:t>
            </w:r>
          </w:p>
        </w:tc>
        <w:tc>
          <w:tcPr>
            <w:tcW w:type="dxa" w:w="883"/>
          </w:tcPr>
          <w:p>
            <w:pPr>
              <w:jc w:val="center"/>
            </w:pPr>
            <w:r/>
            <w:r>
              <w:rPr>
                <w:rFonts w:ascii="Times New Roman" w:hAnsi="Times New Roman" w:eastAsia="Times New Roman"/>
                <w:b w:val="0"/>
                <w:sz w:val="16"/>
              </w:rPr>
              <w:t>17.94</w:t>
            </w:r>
          </w:p>
        </w:tc>
        <w:tc>
          <w:tcPr>
            <w:tcW w:type="dxa" w:w="883"/>
          </w:tcPr>
          <w:p>
            <w:pPr>
              <w:jc w:val="center"/>
            </w:pPr>
            <w:r/>
            <w:r>
              <w:rPr>
                <w:rFonts w:ascii="Times New Roman" w:hAnsi="Times New Roman" w:eastAsia="Times New Roman"/>
                <w:b w:val="0"/>
                <w:sz w:val="16"/>
              </w:rPr>
              <w:t>23.08</w:t>
            </w:r>
          </w:p>
        </w:tc>
        <w:tc>
          <w:tcPr>
            <w:tcW w:type="dxa" w:w="883"/>
          </w:tcPr>
          <w:p>
            <w:pPr>
              <w:jc w:val="center"/>
            </w:pPr>
            <w:r/>
            <w:r>
              <w:rPr>
                <w:rFonts w:ascii="Times New Roman" w:hAnsi="Times New Roman" w:eastAsia="Times New Roman"/>
                <w:b w:val="0"/>
                <w:sz w:val="16"/>
              </w:rPr>
              <w:t>0.823</w:t>
            </w:r>
          </w:p>
        </w:tc>
      </w:tr>
      <w:tr>
        <w:trPr>
          <w:cantSplit/>
        </w:trPr>
        <w:tc>
          <w:tcPr>
            <w:tcW w:type="dxa" w:w="883"/>
            <w:vMerge w:val="restart"/>
          </w:tcPr>
          <w:p>
            <w:pPr>
              <w:jc w:val="center"/>
            </w:pPr>
            <w:r/>
            <w:r>
              <w:rPr>
                <w:rFonts w:ascii="Times New Roman" w:hAnsi="Times New Roman" w:eastAsia="Times New Roman"/>
                <w:b/>
                <w:sz w:val="14"/>
              </w:rPr>
              <w:t>3DGS-based</w:t>
            </w:r>
          </w:p>
        </w:tc>
        <w:tc>
          <w:tcPr>
            <w:tcW w:type="dxa" w:w="883"/>
          </w:tcPr>
          <w:p>
            <w:pPr>
              <w:jc w:val="left"/>
            </w:pPr>
            <w:r/>
            <w:r>
              <w:rPr>
                <w:rFonts w:ascii="Times New Roman" w:hAnsi="Times New Roman" w:eastAsia="Times New Roman"/>
                <w:b w:val="0"/>
                <w:sz w:val="16"/>
              </w:rPr>
              <w:t>3DGS</w:t>
            </w:r>
          </w:p>
        </w:tc>
        <w:tc>
          <w:tcPr>
            <w:tcW w:type="dxa" w:w="883"/>
          </w:tcPr>
          <w:p>
            <w:pPr>
              <w:jc w:val="center"/>
            </w:pPr>
            <w:r/>
            <w:r>
              <w:rPr>
                <w:rFonts w:ascii="Times New Roman" w:hAnsi="Times New Roman" w:eastAsia="Times New Roman"/>
                <w:b w:val="0"/>
                <w:sz w:val="16"/>
              </w:rPr>
              <w:t>22.93</w:t>
            </w:r>
          </w:p>
        </w:tc>
        <w:tc>
          <w:tcPr>
            <w:tcW w:type="dxa" w:w="883"/>
          </w:tcPr>
          <w:p>
            <w:pPr>
              <w:jc w:val="center"/>
            </w:pPr>
            <w:r/>
            <w:r>
              <w:rPr>
                <w:rFonts w:ascii="Times New Roman" w:hAnsi="Times New Roman" w:eastAsia="Times New Roman"/>
                <w:b w:val="0"/>
                <w:sz w:val="16"/>
              </w:rPr>
              <w:t>19.32</w:t>
            </w:r>
          </w:p>
        </w:tc>
        <w:tc>
          <w:tcPr>
            <w:tcW w:type="dxa" w:w="883"/>
          </w:tcPr>
          <w:p>
            <w:pPr>
              <w:jc w:val="center"/>
            </w:pPr>
            <w:r/>
            <w:r>
              <w:rPr>
                <w:rFonts w:ascii="Times New Roman" w:hAnsi="Times New Roman" w:eastAsia="Times New Roman"/>
                <w:b w:val="0"/>
                <w:sz w:val="16"/>
              </w:rPr>
              <w:t>0.649</w:t>
            </w:r>
          </w:p>
        </w:tc>
        <w:tc>
          <w:tcPr>
            <w:tcW w:type="dxa" w:w="883"/>
          </w:tcPr>
          <w:p>
            <w:pPr>
              <w:jc w:val="center"/>
            </w:pPr>
            <w:r/>
            <w:r>
              <w:rPr>
                <w:rFonts w:ascii="Times New Roman" w:hAnsi="Times New Roman" w:eastAsia="Times New Roman"/>
                <w:b w:val="0"/>
                <w:sz w:val="16"/>
              </w:rPr>
              <w:t>13.45</w:t>
            </w:r>
          </w:p>
        </w:tc>
        <w:tc>
          <w:tcPr>
            <w:tcW w:type="dxa" w:w="883"/>
          </w:tcPr>
          <w:p>
            <w:pPr>
              <w:jc w:val="center"/>
            </w:pPr>
            <w:r/>
            <w:r>
              <w:rPr>
                <w:rFonts w:ascii="Times New Roman" w:hAnsi="Times New Roman" w:eastAsia="Times New Roman"/>
                <w:b w:val="0"/>
                <w:sz w:val="16"/>
              </w:rPr>
              <w:t>23.80</w:t>
            </w:r>
          </w:p>
        </w:tc>
        <w:tc>
          <w:tcPr>
            <w:tcW w:type="dxa" w:w="883"/>
          </w:tcPr>
          <w:p>
            <w:pPr>
              <w:jc w:val="center"/>
            </w:pPr>
            <w:r/>
            <w:r>
              <w:rPr>
                <w:rFonts w:ascii="Times New Roman" w:hAnsi="Times New Roman" w:eastAsia="Times New Roman"/>
                <w:b w:val="0"/>
                <w:sz w:val="16"/>
              </w:rPr>
              <w:t>0.814</w:t>
            </w:r>
          </w:p>
        </w:tc>
        <w:tc>
          <w:tcPr>
            <w:tcW w:type="dxa" w:w="883"/>
          </w:tcPr>
          <w:p>
            <w:pPr>
              <w:jc w:val="center"/>
            </w:pPr>
            <w:r/>
            <w:r>
              <w:rPr>
                <w:rFonts w:ascii="Times New Roman" w:hAnsi="Times New Roman" w:eastAsia="Times New Roman"/>
                <w:b w:val="0"/>
                <w:sz w:val="16"/>
              </w:rPr>
              <w:t>9.68</w:t>
            </w:r>
          </w:p>
        </w:tc>
        <w:tc>
          <w:tcPr>
            <w:tcW w:type="dxa" w:w="883"/>
          </w:tcPr>
          <w:p>
            <w:pPr>
              <w:jc w:val="center"/>
            </w:pPr>
            <w:r/>
            <w:r>
              <w:rPr>
                <w:rFonts w:ascii="Times New Roman" w:hAnsi="Times New Roman" w:eastAsia="Times New Roman"/>
                <w:b w:val="0"/>
                <w:sz w:val="16"/>
              </w:rPr>
              <w:t>25.44</w:t>
            </w:r>
          </w:p>
        </w:tc>
        <w:tc>
          <w:tcPr>
            <w:tcW w:type="dxa" w:w="883"/>
          </w:tcPr>
          <w:p>
            <w:pPr>
              <w:jc w:val="center"/>
            </w:pPr>
            <w:r/>
            <w:r>
              <w:rPr>
                <w:rFonts w:ascii="Times New Roman" w:hAnsi="Times New Roman" w:eastAsia="Times New Roman"/>
                <w:b w:val="0"/>
                <w:sz w:val="16"/>
              </w:rPr>
              <w:t>0.860</w:t>
            </w:r>
          </w:p>
        </w:tc>
      </w:tr>
      <w:tr>
        <w:trPr>
          <w:cantSplit/>
        </w:trPr>
        <w:tc>
          <w:tcPr>
            <w:tcW w:type="dxa" w:w="883"/>
            <w:vMerge/>
          </w:tcPr>
          <w:p/>
        </w:tc>
        <w:tc>
          <w:tcPr>
            <w:tcW w:type="dxa" w:w="883"/>
          </w:tcPr>
          <w:p>
            <w:pPr>
              <w:jc w:val="left"/>
            </w:pPr>
            <w:r/>
            <w:r>
              <w:rPr>
                <w:rFonts w:ascii="Times New Roman" w:hAnsi="Times New Roman" w:eastAsia="Times New Roman"/>
                <w:b w:val="0"/>
                <w:sz w:val="16"/>
              </w:rPr>
              <w:t>CoR-GS</w:t>
            </w:r>
          </w:p>
        </w:tc>
        <w:tc>
          <w:tcPr>
            <w:tcW w:type="dxa" w:w="883"/>
          </w:tcPr>
          <w:p>
            <w:pPr>
              <w:jc w:val="center"/>
            </w:pPr>
            <w:r/>
            <w:r>
              <w:rPr>
                <w:rFonts w:ascii="Times New Roman" w:hAnsi="Times New Roman" w:eastAsia="Times New Roman"/>
                <w:b w:val="0"/>
                <w:sz w:val="16"/>
              </w:rPr>
              <w:t>19.66</w:t>
            </w:r>
          </w:p>
        </w:tc>
        <w:tc>
          <w:tcPr>
            <w:tcW w:type="dxa" w:w="883"/>
          </w:tcPr>
          <w:p>
            <w:pPr>
              <w:jc w:val="center"/>
            </w:pPr>
            <w:r/>
            <w:r>
              <w:rPr>
                <w:rFonts w:ascii="Times New Roman" w:hAnsi="Times New Roman" w:eastAsia="Times New Roman"/>
                <w:b w:val="0"/>
                <w:sz w:val="16"/>
              </w:rPr>
              <w:t>20.45</w:t>
            </w:r>
          </w:p>
        </w:tc>
        <w:tc>
          <w:tcPr>
            <w:tcW w:type="dxa" w:w="883"/>
          </w:tcPr>
          <w:p>
            <w:pPr>
              <w:jc w:val="center"/>
            </w:pPr>
            <w:r/>
            <w:r>
              <w:rPr>
                <w:rFonts w:ascii="Times New Roman" w:hAnsi="Times New Roman" w:eastAsia="Times New Roman"/>
                <w:b w:val="0"/>
                <w:sz w:val="16"/>
              </w:rPr>
              <w:t>0.696</w:t>
            </w:r>
          </w:p>
        </w:tc>
        <w:tc>
          <w:tcPr>
            <w:tcW w:type="dxa" w:w="883"/>
          </w:tcPr>
          <w:p>
            <w:pPr>
              <w:jc w:val="center"/>
            </w:pPr>
            <w:r/>
            <w:r>
              <w:rPr>
                <w:rFonts w:ascii="Times New Roman" w:hAnsi="Times New Roman" w:eastAsia="Times New Roman"/>
                <w:b w:val="0"/>
                <w:sz w:val="16"/>
              </w:rPr>
              <w:t>12.53</w:t>
            </w:r>
          </w:p>
        </w:tc>
        <w:tc>
          <w:tcPr>
            <w:tcW w:type="dxa" w:w="883"/>
          </w:tcPr>
          <w:p>
            <w:pPr>
              <w:jc w:val="center"/>
            </w:pPr>
            <w:r/>
            <w:r>
              <w:rPr>
                <w:rFonts w:ascii="Times New Roman" w:hAnsi="Times New Roman" w:eastAsia="Times New Roman"/>
                <w:b w:val="0"/>
                <w:sz w:val="16"/>
              </w:rPr>
              <w:t>23.87</w:t>
            </w:r>
          </w:p>
        </w:tc>
        <w:tc>
          <w:tcPr>
            <w:tcW w:type="dxa" w:w="883"/>
          </w:tcPr>
          <w:p>
            <w:pPr>
              <w:jc w:val="center"/>
            </w:pPr>
            <w:r/>
            <w:r>
              <w:rPr>
                <w:rFonts w:ascii="Times New Roman" w:hAnsi="Times New Roman" w:eastAsia="Times New Roman"/>
                <w:b w:val="0"/>
                <w:sz w:val="16"/>
              </w:rPr>
              <w:t>0.840</w:t>
            </w:r>
          </w:p>
        </w:tc>
        <w:tc>
          <w:tcPr>
            <w:tcW w:type="dxa" w:w="883"/>
          </w:tcPr>
          <w:p>
            <w:pPr>
              <w:jc w:val="center"/>
            </w:pPr>
            <w:r/>
            <w:r>
              <w:rPr>
                <w:rFonts w:ascii="Times New Roman" w:hAnsi="Times New Roman" w:eastAsia="Times New Roman"/>
                <w:b w:val="0"/>
                <w:sz w:val="16"/>
              </w:rPr>
              <w:t>8.94</w:t>
            </w:r>
          </w:p>
        </w:tc>
        <w:tc>
          <w:tcPr>
            <w:tcW w:type="dxa" w:w="883"/>
          </w:tcPr>
          <w:p>
            <w:pPr>
              <w:jc w:val="center"/>
            </w:pPr>
            <w:r/>
            <w:r>
              <w:rPr>
                <w:rFonts w:ascii="Times New Roman" w:hAnsi="Times New Roman" w:eastAsia="Times New Roman"/>
                <w:b w:val="0"/>
                <w:sz w:val="16"/>
              </w:rPr>
              <w:t>26.70</w:t>
            </w:r>
          </w:p>
        </w:tc>
        <w:tc>
          <w:tcPr>
            <w:tcW w:type="dxa" w:w="883"/>
          </w:tcPr>
          <w:p>
            <w:pPr>
              <w:jc w:val="center"/>
            </w:pPr>
            <w:r/>
            <w:r>
              <w:rPr>
                <w:rFonts w:ascii="Times New Roman" w:hAnsi="Times New Roman" w:eastAsia="Times New Roman"/>
                <w:b w:val="0"/>
                <w:sz w:val="16"/>
              </w:rPr>
              <w:t>0.874</w:t>
            </w:r>
          </w:p>
        </w:tc>
      </w:tr>
      <w:tr>
        <w:trPr>
          <w:cantSplit/>
        </w:trPr>
        <w:tc>
          <w:tcPr>
            <w:tcW w:type="dxa" w:w="883"/>
            <w:vMerge/>
          </w:tcPr>
          <w:p/>
        </w:tc>
        <w:tc>
          <w:tcPr>
            <w:tcW w:type="dxa" w:w="883"/>
          </w:tcPr>
          <w:p>
            <w:pPr>
              <w:jc w:val="left"/>
            </w:pPr>
            <w:r/>
            <w:r>
              <w:rPr>
                <w:rFonts w:ascii="Times New Roman" w:hAnsi="Times New Roman" w:eastAsia="Times New Roman"/>
                <w:b w:val="0"/>
                <w:sz w:val="16"/>
              </w:rPr>
              <w:t>DropGaussian</w:t>
            </w:r>
          </w:p>
        </w:tc>
        <w:tc>
          <w:tcPr>
            <w:tcW w:type="dxa" w:w="883"/>
          </w:tcPr>
          <w:p>
            <w:pPr>
              <w:jc w:val="center"/>
            </w:pPr>
            <w:r/>
            <w:r>
              <w:rPr>
                <w:rFonts w:ascii="Times New Roman" w:hAnsi="Times New Roman" w:eastAsia="Times New Roman"/>
                <w:b w:val="0"/>
                <w:sz w:val="16"/>
              </w:rPr>
              <w:t>21.93</w:t>
            </w:r>
          </w:p>
        </w:tc>
        <w:tc>
          <w:tcPr>
            <w:tcW w:type="dxa" w:w="883"/>
          </w:tcPr>
          <w:p>
            <w:pPr>
              <w:jc w:val="center"/>
            </w:pPr>
            <w:r/>
            <w:r>
              <w:rPr>
                <w:rFonts w:ascii="Times New Roman" w:hAnsi="Times New Roman" w:eastAsia="Times New Roman"/>
                <w:b w:val="0"/>
                <w:sz w:val="16"/>
              </w:rPr>
              <w:t>19.80</w:t>
            </w:r>
          </w:p>
        </w:tc>
        <w:tc>
          <w:tcPr>
            <w:tcW w:type="dxa" w:w="883"/>
          </w:tcPr>
          <w:p>
            <w:pPr>
              <w:jc w:val="center"/>
            </w:pPr>
            <w:r/>
            <w:r>
              <w:rPr>
                <w:rFonts w:ascii="Times New Roman" w:hAnsi="Times New Roman" w:eastAsia="Times New Roman"/>
                <w:b w:val="0"/>
                <w:sz w:val="16"/>
              </w:rPr>
              <w:t>0.621</w:t>
            </w:r>
          </w:p>
        </w:tc>
        <w:tc>
          <w:tcPr>
            <w:tcW w:type="dxa" w:w="883"/>
          </w:tcPr>
          <w:p>
            <w:pPr>
              <w:jc w:val="center"/>
            </w:pPr>
            <w:r/>
            <w:r>
              <w:rPr>
                <w:rFonts w:ascii="Times New Roman" w:hAnsi="Times New Roman" w:eastAsia="Times New Roman"/>
                <w:b w:val="0"/>
                <w:sz w:val="16"/>
              </w:rPr>
              <w:t>13.79</w:t>
            </w:r>
          </w:p>
        </w:tc>
        <w:tc>
          <w:tcPr>
            <w:tcW w:type="dxa" w:w="883"/>
          </w:tcPr>
          <w:p>
            <w:pPr>
              <w:jc w:val="center"/>
            </w:pPr>
            <w:r/>
            <w:r>
              <w:rPr>
                <w:rFonts w:ascii="Times New Roman" w:hAnsi="Times New Roman" w:eastAsia="Times New Roman"/>
                <w:b w:val="0"/>
                <w:sz w:val="16"/>
              </w:rPr>
              <w:t>23.41</w:t>
            </w:r>
          </w:p>
        </w:tc>
        <w:tc>
          <w:tcPr>
            <w:tcW w:type="dxa" w:w="883"/>
          </w:tcPr>
          <w:p>
            <w:pPr>
              <w:jc w:val="center"/>
            </w:pPr>
            <w:r/>
            <w:r>
              <w:rPr>
                <w:rFonts w:ascii="Times New Roman" w:hAnsi="Times New Roman" w:eastAsia="Times New Roman"/>
                <w:b w:val="0"/>
                <w:sz w:val="16"/>
              </w:rPr>
              <w:t>0.803</w:t>
            </w:r>
          </w:p>
        </w:tc>
        <w:tc>
          <w:tcPr>
            <w:tcW w:type="dxa" w:w="883"/>
          </w:tcPr>
          <w:p>
            <w:pPr>
              <w:jc w:val="center"/>
            </w:pPr>
            <w:r/>
            <w:r>
              <w:rPr>
                <w:rFonts w:ascii="Times New Roman" w:hAnsi="Times New Roman" w:eastAsia="Times New Roman"/>
                <w:b w:val="0"/>
                <w:sz w:val="16"/>
              </w:rPr>
              <w:t>9.40</w:t>
            </w:r>
          </w:p>
        </w:tc>
        <w:tc>
          <w:tcPr>
            <w:tcW w:type="dxa" w:w="883"/>
          </w:tcPr>
          <w:p>
            <w:pPr>
              <w:jc w:val="center"/>
            </w:pPr>
            <w:r/>
            <w:r>
              <w:rPr>
                <w:rFonts w:ascii="Times New Roman" w:hAnsi="Times New Roman" w:eastAsia="Times New Roman"/>
                <w:b w:val="0"/>
                <w:sz w:val="16"/>
              </w:rPr>
              <w:t>25.87</w:t>
            </w:r>
          </w:p>
        </w:tc>
        <w:tc>
          <w:tcPr>
            <w:tcW w:type="dxa" w:w="883"/>
          </w:tcPr>
          <w:p>
            <w:pPr>
              <w:jc w:val="center"/>
            </w:pPr>
            <w:r/>
            <w:r>
              <w:rPr>
                <w:rFonts w:ascii="Times New Roman" w:hAnsi="Times New Roman" w:eastAsia="Times New Roman"/>
                <w:b w:val="0"/>
                <w:sz w:val="16"/>
              </w:rPr>
              <w:t>0.868</w:t>
            </w:r>
          </w:p>
        </w:tc>
      </w:tr>
      <w:tr>
        <w:trPr>
          <w:cantSplit/>
        </w:trPr>
        <w:tc>
          <w:tcPr>
            <w:tcW w:type="dxa" w:w="883"/>
            <w:vMerge/>
          </w:tcPr>
          <w:p/>
        </w:tc>
        <w:tc>
          <w:tcPr>
            <w:tcW w:type="dxa" w:w="883"/>
          </w:tcPr>
          <w:p>
            <w:pPr>
              <w:jc w:val="left"/>
            </w:pPr>
            <w:r/>
            <w:r>
              <w:rPr>
                <w:rFonts w:ascii="Times New Roman" w:hAnsi="Times New Roman" w:eastAsia="Times New Roman"/>
                <w:b w:val="0"/>
                <w:sz w:val="16"/>
              </w:rPr>
              <w:t>D²GS</w:t>
            </w:r>
          </w:p>
        </w:tc>
        <w:tc>
          <w:tcPr>
            <w:tcW w:type="dxa" w:w="883"/>
          </w:tcPr>
          <w:p>
            <w:pPr>
              <w:jc w:val="center"/>
            </w:pPr>
            <w:r/>
            <w:r>
              <w:rPr>
                <w:rFonts w:ascii="Times New Roman" w:hAnsi="Times New Roman" w:eastAsia="Times New Roman"/>
                <w:b w:val="0"/>
                <w:sz w:val="16"/>
              </w:rPr>
              <w:t>17.98</w:t>
            </w:r>
          </w:p>
        </w:tc>
        <w:tc>
          <w:tcPr>
            <w:tcW w:type="dxa" w:w="883"/>
          </w:tcPr>
          <w:p>
            <w:pPr>
              <w:jc w:val="center"/>
            </w:pPr>
            <w:r/>
            <w:r>
              <w:rPr>
                <w:rFonts w:ascii="Times New Roman" w:hAnsi="Times New Roman" w:eastAsia="Times New Roman"/>
                <w:b w:val="0"/>
                <w:sz w:val="16"/>
              </w:rPr>
              <w:t>22.35</w:t>
            </w:r>
          </w:p>
        </w:tc>
        <w:tc>
          <w:tcPr>
            <w:tcW w:type="dxa" w:w="883"/>
          </w:tcPr>
          <w:p>
            <w:pPr>
              <w:jc w:val="center"/>
            </w:pPr>
            <w:r/>
            <w:r>
              <w:rPr>
                <w:rFonts w:ascii="Times New Roman" w:hAnsi="Times New Roman" w:eastAsia="Times New Roman"/>
                <w:b w:val="0"/>
                <w:sz w:val="16"/>
              </w:rPr>
              <w:t>0.746</w:t>
            </w:r>
          </w:p>
        </w:tc>
        <w:tc>
          <w:tcPr>
            <w:tcW w:type="dxa" w:w="883"/>
          </w:tcPr>
          <w:p>
            <w:pPr>
              <w:jc w:val="center"/>
            </w:pPr>
            <w:r/>
            <w:r>
              <w:rPr>
                <w:rFonts w:ascii="Times New Roman" w:hAnsi="Times New Roman" w:eastAsia="Times New Roman"/>
                <w:b w:val="0"/>
                <w:sz w:val="16"/>
              </w:rPr>
              <w:t>13.85</w:t>
            </w:r>
          </w:p>
        </w:tc>
        <w:tc>
          <w:tcPr>
            <w:tcW w:type="dxa" w:w="883"/>
          </w:tcPr>
          <w:p>
            <w:pPr>
              <w:jc w:val="center"/>
            </w:pPr>
            <w:r/>
            <w:r>
              <w:rPr>
                <w:rFonts w:ascii="Times New Roman" w:hAnsi="Times New Roman" w:eastAsia="Times New Roman"/>
                <w:b w:val="0"/>
                <w:sz w:val="16"/>
              </w:rPr>
              <w:t>23.91</w:t>
            </w:r>
          </w:p>
        </w:tc>
        <w:tc>
          <w:tcPr>
            <w:tcW w:type="dxa" w:w="883"/>
          </w:tcPr>
          <w:p>
            <w:pPr>
              <w:jc w:val="center"/>
            </w:pPr>
            <w:r/>
            <w:r>
              <w:rPr>
                <w:rFonts w:ascii="Times New Roman" w:hAnsi="Times New Roman" w:eastAsia="Times New Roman"/>
                <w:b w:val="0"/>
                <w:sz w:val="16"/>
              </w:rPr>
              <w:t>0.846</w:t>
            </w:r>
          </w:p>
        </w:tc>
        <w:tc>
          <w:tcPr>
            <w:tcW w:type="dxa" w:w="883"/>
          </w:tcPr>
          <w:p>
            <w:pPr>
              <w:jc w:val="center"/>
            </w:pPr>
            <w:r/>
            <w:r>
              <w:rPr>
                <w:rFonts w:ascii="Times New Roman" w:hAnsi="Times New Roman" w:eastAsia="Times New Roman"/>
                <w:b w:val="0"/>
                <w:sz w:val="16"/>
              </w:rPr>
              <w:t>8.91</w:t>
            </w:r>
          </w:p>
        </w:tc>
        <w:tc>
          <w:tcPr>
            <w:tcW w:type="dxa" w:w="883"/>
          </w:tcPr>
          <w:p>
            <w:pPr>
              <w:jc w:val="center"/>
            </w:pPr>
            <w:r/>
            <w:r>
              <w:rPr>
                <w:rFonts w:ascii="Times New Roman" w:hAnsi="Times New Roman" w:eastAsia="Times New Roman"/>
                <w:b w:val="0"/>
                <w:sz w:val="16"/>
              </w:rPr>
              <w:t>26.80</w:t>
            </w:r>
          </w:p>
        </w:tc>
        <w:tc>
          <w:tcPr>
            <w:tcW w:type="dxa" w:w="883"/>
          </w:tcPr>
          <w:p>
            <w:pPr>
              <w:jc w:val="center"/>
            </w:pPr>
            <w:r/>
            <w:r>
              <w:rPr>
                <w:rFonts w:ascii="Times New Roman" w:hAnsi="Times New Roman" w:eastAsia="Times New Roman"/>
                <w:b w:val="0"/>
                <w:sz w:val="16"/>
              </w:rPr>
              <w:t>0.871</w:t>
            </w:r>
          </w:p>
        </w:tc>
      </w:tr>
      <w:tr>
        <w:trPr>
          <w:cantSplit/>
        </w:trPr>
        <w:tc>
          <w:tcPr>
            <w:tcW w:type="dxa" w:w="883"/>
            <w:vMerge/>
          </w:tcPr>
          <w:p/>
        </w:tc>
        <w:tc>
          <w:tcPr>
            <w:tcW w:type="dxa" w:w="883"/>
          </w:tcPr>
          <w:p>
            <w:pPr>
              <w:jc w:val="left"/>
            </w:pPr>
            <w:r/>
            <w:r>
              <w:rPr>
                <w:rFonts w:ascii="Times New Roman" w:hAnsi="Times New Roman" w:eastAsia="Times New Roman"/>
                <w:b/>
                <w:sz w:val="16"/>
              </w:rPr>
              <w:t>SynGS (Ours)</w:t>
            </w:r>
          </w:p>
        </w:tc>
        <w:tc>
          <w:tcPr>
            <w:tcW w:type="dxa" w:w="883"/>
          </w:tcPr>
          <w:p>
            <w:pPr>
              <w:jc w:val="center"/>
            </w:pPr>
            <w:r/>
            <w:r>
              <w:rPr>
                <w:rFonts w:ascii="Times New Roman" w:hAnsi="Times New Roman" w:eastAsia="Times New Roman"/>
                <w:b w:val="0"/>
                <w:sz w:val="16"/>
              </w:rPr>
              <w:t>16.92</w:t>
            </w:r>
          </w:p>
        </w:tc>
        <w:tc>
          <w:tcPr>
            <w:tcW w:type="dxa" w:w="883"/>
          </w:tcPr>
          <w:p>
            <w:pPr>
              <w:jc w:val="center"/>
            </w:pPr>
            <w:r/>
            <w:r>
              <w:rPr>
                <w:rFonts w:ascii="Times New Roman" w:hAnsi="Times New Roman" w:eastAsia="Times New Roman"/>
                <w:b w:val="0"/>
                <w:sz w:val="16"/>
              </w:rPr>
              <w:t>23.92</w:t>
            </w:r>
          </w:p>
        </w:tc>
        <w:tc>
          <w:tcPr>
            <w:tcW w:type="dxa" w:w="883"/>
          </w:tcPr>
          <w:p>
            <w:pPr>
              <w:jc w:val="center"/>
            </w:pPr>
            <w:r/>
            <w:r>
              <w:rPr>
                <w:rFonts w:ascii="Times New Roman" w:hAnsi="Times New Roman" w:eastAsia="Times New Roman"/>
                <w:b w:val="0"/>
                <w:sz w:val="16"/>
              </w:rPr>
              <w:t>0.762</w:t>
            </w:r>
          </w:p>
        </w:tc>
        <w:tc>
          <w:tcPr>
            <w:tcW w:type="dxa" w:w="883"/>
          </w:tcPr>
          <w:p>
            <w:pPr>
              <w:jc w:val="center"/>
            </w:pPr>
            <w:r/>
            <w:r>
              <w:rPr>
                <w:rFonts w:ascii="Times New Roman" w:hAnsi="Times New Roman" w:eastAsia="Times New Roman"/>
                <w:b w:val="0"/>
                <w:sz w:val="16"/>
              </w:rPr>
              <w:t>12.54</w:t>
            </w:r>
          </w:p>
        </w:tc>
        <w:tc>
          <w:tcPr>
            <w:tcW w:type="dxa" w:w="883"/>
          </w:tcPr>
          <w:p>
            <w:pPr>
              <w:jc w:val="center"/>
            </w:pPr>
            <w:r/>
            <w:r>
              <w:rPr>
                <w:rFonts w:ascii="Times New Roman" w:hAnsi="Times New Roman" w:eastAsia="Times New Roman"/>
                <w:b w:val="0"/>
                <w:sz w:val="16"/>
              </w:rPr>
              <w:t>25.17</w:t>
            </w:r>
          </w:p>
        </w:tc>
        <w:tc>
          <w:tcPr>
            <w:tcW w:type="dxa" w:w="883"/>
          </w:tcPr>
          <w:p>
            <w:pPr>
              <w:jc w:val="center"/>
            </w:pPr>
            <w:r/>
            <w:r>
              <w:rPr>
                <w:rFonts w:ascii="Times New Roman" w:hAnsi="Times New Roman" w:eastAsia="Times New Roman"/>
                <w:b w:val="0"/>
                <w:sz w:val="16"/>
              </w:rPr>
              <w:t>0.848</w:t>
            </w:r>
          </w:p>
        </w:tc>
        <w:tc>
          <w:tcPr>
            <w:tcW w:type="dxa" w:w="883"/>
          </w:tcPr>
          <w:p>
            <w:pPr>
              <w:jc w:val="center"/>
            </w:pPr>
            <w:r/>
            <w:r>
              <w:rPr>
                <w:rFonts w:ascii="Times New Roman" w:hAnsi="Times New Roman" w:eastAsia="Times New Roman"/>
                <w:b w:val="0"/>
                <w:sz w:val="16"/>
              </w:rPr>
              <w:t>8.96</w:t>
            </w:r>
          </w:p>
        </w:tc>
        <w:tc>
          <w:tcPr>
            <w:tcW w:type="dxa" w:w="883"/>
          </w:tcPr>
          <w:p>
            <w:pPr>
              <w:jc w:val="center"/>
            </w:pPr>
            <w:r/>
            <w:r>
              <w:rPr>
                <w:rFonts w:ascii="Times New Roman" w:hAnsi="Times New Roman" w:eastAsia="Times New Roman"/>
                <w:b w:val="0"/>
                <w:sz w:val="16"/>
              </w:rPr>
              <w:t>26.71</w:t>
            </w:r>
          </w:p>
        </w:tc>
        <w:tc>
          <w:tcPr>
            <w:tcW w:type="dxa" w:w="883"/>
          </w:tcPr>
          <w:p>
            <w:pPr>
              <w:jc w:val="center"/>
            </w:pPr>
            <w:r/>
            <w:r>
              <w:rPr>
                <w:rFonts w:ascii="Times New Roman" w:hAnsi="Times New Roman" w:eastAsia="Times New Roman"/>
                <w:b w:val="0"/>
                <w:sz w:val="16"/>
              </w:rPr>
              <w:t>0.871</w:t>
            </w:r>
          </w:p>
        </w:tc>
      </w:tr>
    </w:tbl>
    <w:p>
      <w:pPr>
        <w:pStyle w:val="SPIEbodytext"/>
        <w:jc w:val="both"/>
      </w:pPr>
      <w:r>
        <w:rPr>
          <w:rFonts w:ascii="Times New Roman" w:hAnsi="Times New Roman" w:eastAsia="Times New Roman"/>
          <w:b/>
          <w:bCs/>
          <w:sz w:val="20"/>
        </w:rPr>
        <w:t xml:space="preserve">Mip-NeRF 360 and LLFF.</w:t>
      </w:r>
      <w:r>
        <w:rPr>
          <w:rFonts w:ascii="Times New Roman" w:hAnsi="Times New Roman" w:eastAsia="Times New Roman"/>
          <w:sz w:val="20"/>
        </w:rPr>
        <w:t xml:space="preserve"> </w:t>
      </w:r>
      <w:r>
        <w:rPr>
          <w:rFonts w:ascii="Times New Roman" w:hAnsi="Times New Roman" w:eastAsia="Times New Roman"/>
          <w:sz w:val="20"/>
        </w:rPr>
        <w:t xml:space="preserve">Table 1 reports the results on Mip-NeRF 360 under the 4-, 6-, and 9-view settings. SynGS achieves the highest PSNR and SSIM in all three settings, with the largest PSNR gain in the 4-view case: 25.91 dB, 3.56 dB above D²GS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[44]</w:t>
      </w:r>
      <w:r>
        <w:rPr>
          <w:rFonts w:ascii="Times New Roman" w:hAnsi="Times New Roman" w:eastAsia="Times New Roman"/>
          <w:sz w:val="20"/>
        </w:rPr>
        <w:t xml:space="preserve">. However, D²GS obtains lower LPIPS values across the three settings, indicating an advantage in perceptual similarity. Table 2 shows a similar trend. With four views, SynGS leads in PSNR, SSIM, and LPIPS; under six views it obtains the highest PSNR and SSIM with LPIPS close to the best result. As the number of input views increases to nine, the differences among the leading methods become smaller: D²GS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[44]</w:t>
      </w:r>
      <w:r>
        <w:rPr>
          <w:rFonts w:ascii="Times New Roman" w:hAnsi="Times New Roman" w:eastAsia="Times New Roman"/>
          <w:sz w:val="20"/>
        </w:rPr>
        <w:t xml:space="preserve"> </w:t>
      </w:r>
      <w:r>
        <w:rPr>
          <w:rFonts w:ascii="Times New Roman" w:hAnsi="Times New Roman" w:eastAsia="Times New Roman"/>
          <w:sz w:val="20"/>
        </w:rPr>
        <w:t xml:space="preserve">gives slightly higher PSNR and lower LPIPS, while CoR-GS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[13]</w:t>
      </w:r>
      <w:r>
        <w:rPr>
          <w:rFonts w:ascii="Times New Roman" w:hAnsi="Times New Roman" w:eastAsia="Times New Roman"/>
          <w:sz w:val="20"/>
        </w:rPr>
        <w:t xml:space="preserve"> </w:t>
      </w:r>
      <w:r>
        <w:rPr>
          <w:rFonts w:ascii="Times New Roman" w:hAnsi="Times New Roman" w:eastAsia="Times New Roman"/>
          <w:sz w:val="20"/>
        </w:rPr>
        <w:t xml:space="preserve">achieves slightly higher SSIM. Overall, SynGS shows more pronounced improvements in the four- and six-view settings, suggesting that the proposed framework is particularly beneficial when the geometric information available from the input views is severely limited.</w:t>
      </w:r>
    </w:p>
    <w:p>
      <w:pPr>
        <w:pStyle w:val="SPIEbodytext"/>
        <w:jc w:val="both"/>
      </w:pPr>
      <w:r>
        <w:rPr>
          <w:rFonts w:ascii="Times New Roman" w:hAnsi="Times New Roman" w:eastAsia="Times New Roman"/>
          <w:b/>
          <w:bCs/>
          <w:sz w:val="20"/>
        </w:rPr>
        <w:t xml:space="preserve">Qualitative Results.</w:t>
      </w:r>
      <w:r>
        <w:rPr>
          <w:rFonts w:ascii="Times New Roman" w:hAnsi="Times New Roman" w:eastAsia="Times New Roman"/>
          <w:sz w:val="20"/>
        </w:rPr>
        <w:t xml:space="preserve"> </w:t>
      </w:r>
      <w:r>
        <w:rPr>
          <w:rFonts w:ascii="Times New Roman" w:hAnsi="Times New Roman" w:eastAsia="Times New Roman"/>
          <w:sz w:val="20"/>
        </w:rPr>
        <w:t xml:space="preserve">Figure 3 shows the 4-view comparison on Mip-NeRF 360. SynGS produces fewer floating artifacts and more complete object boundaries, and preserves finer structures where baselines show broken contours or missing details.</w:t>
      </w:r>
    </w:p>
    <w:p>
      <w:pPr>
        <w:pStyle w:val="SPIEbodytext"/>
        <w:jc w:val="center"/>
      </w:pPr>
      <w:r>
        <w:rPr>
          <w:rFonts w:ascii="Times New Roman" w:hAnsi="Times New Roman" w:eastAsia="Times New Roman"/>
          <w:sz w:val="20"/>
        </w:rPr>
        <w:drawing>
          <wp:inline>
            <wp:extent cx="59400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5940000" cy="202974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rPr>
          <w:rFonts w:ascii="Times New Roman" w:hAnsi="Times New Roman" w:eastAsia="Times New Roman"/>
          <w:b/>
          <w:sz w:val="20"/>
        </w:rPr>
        <w:t xml:space="preserve">Ablation Study</w:t>
      </w:r>
    </w:p>
    <w:p>
      <w:pPr>
        <w:pStyle w:val="SPIEtablecaption"/>
        <w:jc w:val="both"/>
      </w:pPr>
      <w:r>
        <w:rPr>
          <w:rFonts w:ascii="Times New Roman" w:hAnsi="Times New Roman" w:eastAsia="Times New Roman"/>
          <w:sz w:val="18"/>
        </w:rPr>
        <w:t xml:space="preserve">Table 3. Ablation study of SynGS components.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1620"/>
        <w:gridCol w:w="1620"/>
        <w:gridCol w:w="1620"/>
        <w:gridCol w:w="1620"/>
        <w:gridCol w:w="1620"/>
        <w:gridCol w:w="1620"/>
      </w:tblGrid>
      <w:tr>
        <w:trPr>
          <w:cantSplit/>
        </w:trPr>
        <w:tc>
          <w:tcPr>
            <w:tcW w:type="dxa" w:w="1620"/>
          </w:tcPr>
          <w:p>
            <w:pPr>
              <w:jc w:val="center"/>
            </w:pPr>
            <w:r/>
            <w:r>
              <w:rPr>
                <w:rFonts w:ascii="Times New Roman" w:hAnsi="Times New Roman" w:eastAsia="Times New Roman"/>
                <w:b/>
                <w:sz w:val="16"/>
              </w:rPr>
              <w:t>Visual Hull Init</w:t>
            </w:r>
          </w:p>
        </w:tc>
        <w:tc>
          <w:tcPr>
            <w:tcW w:type="dxa" w:w="1620"/>
          </w:tcPr>
          <w:p>
            <w:pPr>
              <w:jc w:val="center"/>
            </w:pPr>
            <w:r/>
            <w:r>
              <w:rPr>
                <w:rFonts w:ascii="Times New Roman" w:hAnsi="Times New Roman" w:eastAsia="Times New Roman"/>
                <w:b/>
                <w:sz w:val="16"/>
              </w:rPr>
              <w:t>Depth Densification</w:t>
            </w:r>
          </w:p>
        </w:tc>
        <w:tc>
          <w:tcPr>
            <w:tcW w:type="dxa" w:w="1620"/>
          </w:tcPr>
          <w:p>
            <w:pPr>
              <w:jc w:val="center"/>
            </w:pPr>
            <w:r/>
            <w:r>
              <w:rPr>
                <w:rFonts w:ascii="Times New Roman" w:hAnsi="Times New Roman" w:eastAsia="Times New Roman"/>
                <w:b/>
                <w:sz w:val="16"/>
              </w:rPr>
              <w:t>Visibility Balancing*</w:t>
            </w:r>
          </w:p>
        </w:tc>
        <w:tc>
          <w:tcPr>
            <w:tcW w:type="dxa" w:w="1620"/>
          </w:tcPr>
          <w:p>
            <w:pPr>
              <w:jc w:val="center"/>
            </w:pPr>
            <w:r/>
            <w:r>
              <w:rPr>
                <w:rFonts w:ascii="Times New Roman" w:hAnsi="Times New Roman" w:eastAsia="Times New Roman"/>
                <w:b/>
                <w:sz w:val="16"/>
              </w:rPr>
              <w:t>SSIM↑</w:t>
            </w:r>
          </w:p>
        </w:tc>
        <w:tc>
          <w:tcPr>
            <w:tcW w:type="dxa" w:w="1620"/>
          </w:tcPr>
          <w:p>
            <w:pPr>
              <w:jc w:val="center"/>
            </w:pPr>
            <w:r/>
            <w:r>
              <w:rPr>
                <w:rFonts w:ascii="Times New Roman" w:hAnsi="Times New Roman" w:eastAsia="Times New Roman"/>
                <w:b/>
                <w:sz w:val="16"/>
              </w:rPr>
              <w:t>PSNR↑</w:t>
            </w:r>
          </w:p>
        </w:tc>
        <w:tc>
          <w:tcPr>
            <w:tcW w:type="dxa" w:w="1620"/>
          </w:tcPr>
          <w:p>
            <w:pPr>
              <w:jc w:val="center"/>
            </w:pPr>
            <w:r/>
            <w:r>
              <w:rPr>
                <w:rFonts w:ascii="Times New Roman" w:hAnsi="Times New Roman" w:eastAsia="Times New Roman"/>
                <w:b/>
                <w:sz w:val="16"/>
              </w:rPr>
              <w:t>LPIPS*↓</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t>0.865</w:t>
            </w:r>
          </w:p>
        </w:tc>
        <w:tc>
          <w:tcPr>
            <w:tcW w:type="dxa" w:w="1620"/>
          </w:tcPr>
          <w:p>
            <w:pPr>
              <w:jc w:val="center"/>
            </w:pPr>
            <w:r/>
            <w:r>
              <w:rPr>
                <w:rFonts w:ascii="Times New Roman" w:hAnsi="Times New Roman" w:eastAsia="Times New Roman"/>
                <w:b w:val="0"/>
                <w:sz w:val="16"/>
              </w:rPr>
              <w:t>17.51</w:t>
            </w:r>
          </w:p>
        </w:tc>
        <w:tc>
          <w:tcPr>
            <w:tcW w:type="dxa" w:w="1620"/>
          </w:tcPr>
          <w:p>
            <w:pPr>
              <w:jc w:val="center"/>
            </w:pPr>
            <w:r/>
            <w:r>
              <w:rPr>
                <w:rFonts w:ascii="Times New Roman" w:hAnsi="Times New Roman" w:eastAsia="Times New Roman"/>
                <w:b w:val="0"/>
                <w:sz w:val="16"/>
              </w:rPr>
              <w:t>12.80</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t>0.902</w:t>
            </w:r>
          </w:p>
        </w:tc>
        <w:tc>
          <w:tcPr>
            <w:tcW w:type="dxa" w:w="1620"/>
          </w:tcPr>
          <w:p>
            <w:pPr>
              <w:jc w:val="center"/>
            </w:pPr>
            <w:r/>
            <w:r>
              <w:rPr>
                <w:rFonts w:ascii="Times New Roman" w:hAnsi="Times New Roman" w:eastAsia="Times New Roman"/>
                <w:b w:val="0"/>
                <w:sz w:val="16"/>
              </w:rPr>
              <w:t>24.96</w:t>
            </w:r>
          </w:p>
        </w:tc>
        <w:tc>
          <w:tcPr>
            <w:tcW w:type="dxa" w:w="1620"/>
          </w:tcPr>
          <w:p>
            <w:pPr>
              <w:jc w:val="center"/>
            </w:pPr>
            <w:r/>
            <w:r>
              <w:rPr>
                <w:rFonts w:ascii="Times New Roman" w:hAnsi="Times New Roman" w:eastAsia="Times New Roman"/>
                <w:b w:val="0"/>
                <w:sz w:val="16"/>
              </w:rPr>
              <w:t>5.20</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sz w:val="16"/>
              </w:rPr>
              <w:t>0.943</w:t>
            </w:r>
          </w:p>
        </w:tc>
        <w:tc>
          <w:tcPr>
            <w:tcW w:type="dxa" w:w="1620"/>
          </w:tcPr>
          <w:p>
            <w:pPr>
              <w:jc w:val="center"/>
            </w:pPr>
            <w:r/>
            <w:r>
              <w:rPr>
                <w:rFonts w:ascii="Times New Roman" w:hAnsi="Times New Roman" w:eastAsia="Times New Roman"/>
                <w:b/>
                <w:sz w:val="16"/>
              </w:rPr>
              <w:t>26.18</w:t>
            </w:r>
          </w:p>
        </w:tc>
        <w:tc>
          <w:tcPr>
            <w:tcW w:type="dxa" w:w="1620"/>
          </w:tcPr>
          <w:p>
            <w:pPr>
              <w:jc w:val="center"/>
            </w:pPr>
            <w:r/>
            <w:r>
              <w:rPr>
                <w:rFonts w:ascii="Times New Roman" w:hAnsi="Times New Roman" w:eastAsia="Times New Roman"/>
                <w:b/>
                <w:sz w:val="16"/>
              </w:rPr>
              <w:t>3.98</w:t>
            </w:r>
          </w:p>
        </w:tc>
      </w:tr>
    </w:tbl>
    <w:p>
      <w:pPr>
        <w:pStyle w:val="SPIEbodytext"/>
        <w:jc w:val="both"/>
      </w:pPr>
      <w:r>
        <w:rPr>
          <w:rFonts w:ascii="Times New Roman" w:hAnsi="Times New Roman" w:eastAsia="Times New Roman"/>
          <w:sz w:val="20"/>
        </w:rPr>
        <w:t xml:space="preserve">Unlike Table 1, which reports dataset-wide averages, the ablation is a separate protocol and is not the 4-view mean in Table 1.</w:t>
      </w:r>
    </w:p>
    <w:p>
      <w:pPr>
        <w:pStyle w:val="SPIEbodytext"/>
        <w:jc w:val="both"/>
      </w:pPr>
      <w:r>
        <w:rPr>
          <w:rFonts w:ascii="Times New Roman" w:hAnsi="Times New Roman" w:eastAsia="Times New Roman"/>
          <w:sz w:val="20"/>
        </w:rP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SPIEbodytext"/>
        <w:jc w:val="both"/>
      </w:pPr>
      <w:r>
        <w:rPr>
          <w:rFonts w:ascii="Times New Roman" w:hAnsi="Times New Roman" w:eastAsia="Times New Roman"/>
          <w:sz w:val="20"/>
        </w:rPr>
        <w:t xml:space="preserve">*Visibility Balancing denotes Dynamic Visibility Regularization (DVR).</w:t>
      </w:r>
    </w:p>
    <w:bookmarkEnd w:id="50"/>
    <w:bookmarkEnd w:id="51"/>
    <w:bookmarkStart w:id="52" w:name="_conclusion"/>
    <w:p>
      <w:pPr>
        <w:pStyle w:val="1"/>
      </w:pPr>
      <w:r>
        <w:rPr>
          <w:rFonts w:ascii="Times New Roman" w:hAnsi="Times New Roman" w:eastAsia="Times New Roman"/>
          <w:b/>
          <w:sz w:val="22"/>
        </w:rPr>
        <w:t xml:space="preserve">CONCLUSION</w:t>
      </w:r>
    </w:p>
    <w:p>
      <w:pPr>
        <w:pStyle w:val="SPIEbodytext"/>
        <w:jc w:val="both"/>
      </w:pPr>
      <w:r>
        <w:rPr>
          <w:rFonts w:ascii="Times New Roman" w:hAnsi="Times New Roman" w:eastAsia="Times New Roman"/>
          <w:sz w:val="20"/>
        </w:rPr>
        <w:t xml:space="preserve">We present SynGS for sparse-view 3DGS, combining</w:t>
      </w:r>
      <w:r>
        <w:rPr>
          <w:rFonts w:ascii="Times New Roman" w:hAnsi="Times New Roman" w:eastAsia="Times New Roman"/>
          <w:sz w:val="20"/>
        </w:rPr>
        <w:t xml:space="preserve"> </w:t>
      </w:r>
      <w:r>
        <w:rPr>
          <w:rFonts w:ascii="Times New Roman" w:hAnsi="Times New Roman" w:eastAsia="Times New Roman"/>
          <w:b/>
          <w:bCs/>
          <w:sz w:val="20"/>
        </w:rPr>
        <w:t xml:space="preserve">Visual Hull Initialization</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VGGT-Guided Densification</w:t>
      </w:r>
      <w:r>
        <w:rPr>
          <w:rFonts w:ascii="Times New Roman" w:hAnsi="Times New Roman" w:eastAsia="Times New Roman"/>
          <w:sz w:val="20"/>
        </w:rPr>
        <w:t xml:space="preserve">, and</w:t>
      </w:r>
      <w:r>
        <w:rPr>
          <w:rFonts w:ascii="Times New Roman" w:hAnsi="Times New Roman" w:eastAsia="Times New Roman"/>
          <w:sz w:val="20"/>
        </w:rPr>
        <w:t xml:space="preserve"> </w:t>
      </w:r>
      <w:r>
        <w:rPr>
          <w:rFonts w:ascii="Times New Roman" w:hAnsi="Times New Roman" w:eastAsia="Times New Roman"/>
          <w:b/>
          <w:bCs/>
          <w:sz w:val="20"/>
        </w:rPr>
        <w:t xml:space="preserve">Dynamic Visibility Regularization</w:t>
      </w:r>
      <w:r>
        <w:rPr>
          <w:rFonts w:ascii="Times New Roman" w:hAnsi="Times New Roman" w:eastAsia="Times New Roman"/>
          <w:sz w:val="20"/>
        </w:rPr>
        <w:t xml:space="preserve"> </w:t>
      </w:r>
      <w:r>
        <w:rPr>
          <w:rFonts w:ascii="Times New Roman" w:hAnsi="Times New Roman" w:eastAsia="Times New Roman"/>
          <w:sz w:val="20"/>
        </w:rPr>
        <w:t xml:space="preserve">for more reliable initialization, geometry completion, and reduced sparse-view overfitting. SynGS demonstrates more pronounced improvements under highly sparse-view conditions, particularly in PSNR and SSIM with four or six input views. With nine input views, SynGS maintains improvements in PSNR and SSIM on Mip-NeRF 360, while achieving performance comparable to leading methods on LLFF. However, the additional geometry introduced during initialization incurs memory and computational overhead. Future work will focus on developing more efficient geometry augmentation strategies to reduce these costs while preserving reconstruction quality.</w:t>
      </w:r>
    </w:p>
    <w:p>
      <w:pPr>
        <w:pStyle w:val="SPIEreferences"/>
      </w:pPr>
      <w:r>
        <w:rPr>
          <w:rFonts w:ascii="Times New Roman" w:hAnsi="Times New Roman" w:eastAsia="Times New Roman"/>
          <w:b/>
          <w:sz w:val="22"/>
        </w:rPr>
        <w:t>References</w:t>
      </w:r>
    </w:p>
    <w:p>
      <w:pPr>
        <w:pStyle w:val="SPIEreferencelisting"/>
      </w:pPr>
      <w:r>
        <w:rPr>
          <w:rFonts w:ascii="Times New Roman" w:hAnsi="Times New Roman" w:eastAsia="Times New Roman"/>
          <w:sz w:val="18"/>
        </w:rPr>
        <w:t xml:space="preserve">Yang, J., Pavone, M., and Wang, Y.,</w:t>
      </w:r>
      <w:r>
        <w:rPr>
          <w:rFonts w:ascii="Times New Roman" w:hAnsi="Times New Roman" w:eastAsia="Times New Roman"/>
          <w:sz w:val="18"/>
        </w:rPr>
        <w:t xml:space="preserve"> </w:t>
      </w:r>
      <w:r>
        <w:rPr>
          <w:rFonts w:ascii="Times New Roman" w:hAnsi="Times New Roman" w:eastAsia="Times New Roman"/>
          <w:sz w:val="18"/>
        </w:rPr>
        <w:t xml:space="preserve">“FreeNeRF: Improving few-shot neural rendering with free frequency regularization,”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8254–8263 (2023). DOI: https://doi.org/10.1109/cvpr52729.2023.00798.</w:t>
      </w:r>
    </w:p>
    <w:p>
      <w:pPr>
        <w:pStyle w:val="SPIEreferencelisting"/>
      </w:pPr>
      <w:r>
        <w:rPr>
          <w:rFonts w:ascii="Times New Roman" w:hAnsi="Times New Roman" w:eastAsia="Times New Roman"/>
          <w:sz w:val="18"/>
        </w:rPr>
        <w:t xml:space="preserve">Niemeyer, M., Barron, J. T., Mildenhall, B., Sajjadi, M. S. M., Geiger, A., and Radwan, N.,</w:t>
      </w:r>
      <w:r>
        <w:rPr>
          <w:rFonts w:ascii="Times New Roman" w:hAnsi="Times New Roman" w:eastAsia="Times New Roman"/>
          <w:sz w:val="18"/>
        </w:rPr>
        <w:t xml:space="preserve"> </w:t>
      </w:r>
      <w:r>
        <w:rPr>
          <w:rFonts w:ascii="Times New Roman" w:hAnsi="Times New Roman" w:eastAsia="Times New Roman"/>
          <w:sz w:val="18"/>
        </w:rPr>
        <w:t xml:space="preserve">“RegNeRF: Regularizing neural radiance fields for view synthesis from sparse inputs,”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5480–5490 (2022). DOI: https://doi.org/10.1109/cvpr52688.2022.00540.</w:t>
      </w:r>
    </w:p>
    <w:p>
      <w:pPr>
        <w:pStyle w:val="SPIEreferencelisting"/>
      </w:pPr>
      <w:r>
        <w:rPr>
          <w:rFonts w:ascii="Times New Roman" w:hAnsi="Times New Roman" w:eastAsia="Times New Roman"/>
          <w:sz w:val="18"/>
        </w:rPr>
        <w:t xml:space="preserve">Kerbl, B., Kopanas, G., Leimkühler, T., and Drettakis, G.,</w:t>
      </w:r>
      <w:r>
        <w:rPr>
          <w:rFonts w:ascii="Times New Roman" w:hAnsi="Times New Roman" w:eastAsia="Times New Roman"/>
          <w:sz w:val="18"/>
        </w:rPr>
        <w:t xml:space="preserve"> </w:t>
      </w:r>
      <w:r>
        <w:rPr>
          <w:rFonts w:ascii="Times New Roman" w:hAnsi="Times New Roman" w:eastAsia="Times New Roman"/>
          <w:sz w:val="18"/>
        </w:rPr>
        <w:t xml:space="preserve">“3D gaussian splatting for real-time radiance field rendering,”</w:t>
      </w:r>
      <w:r>
        <w:rPr>
          <w:rFonts w:ascii="Times New Roman" w:hAnsi="Times New Roman" w:eastAsia="Times New Roman"/>
          <w:sz w:val="18"/>
        </w:rPr>
        <w:t xml:space="preserve"> </w:t>
      </w:r>
      <w:r>
        <w:rPr>
          <w:rFonts w:ascii="Times New Roman" w:hAnsi="Times New Roman" w:eastAsia="Times New Roman"/>
          <w:sz w:val="18"/>
        </w:rPr>
        <w:t xml:space="preserve">ACM Transactions on Graphics 42(4), 139:1–139:14 (2023). DOI: https://doi.org/10.1145/3592433.</w:t>
      </w:r>
    </w:p>
    <w:p>
      <w:pPr>
        <w:pStyle w:val="SPIEreferencelisting"/>
      </w:pPr>
      <w:r>
        <w:rPr>
          <w:rFonts w:ascii="Times New Roman" w:hAnsi="Times New Roman" w:eastAsia="Times New Roman"/>
          <w:sz w:val="18"/>
        </w:rPr>
        <w:t xml:space="preserve">Lu, T., Yu, M., Xu, L., Xiangli, Y., Wang, L., Lin, D., and Dai, B.,</w:t>
      </w:r>
      <w:r>
        <w:rPr>
          <w:rFonts w:ascii="Times New Roman" w:hAnsi="Times New Roman" w:eastAsia="Times New Roman"/>
          <w:sz w:val="18"/>
        </w:rPr>
        <w:t xml:space="preserve"> </w:t>
      </w:r>
      <w:r>
        <w:rPr>
          <w:rFonts w:ascii="Times New Roman" w:hAnsi="Times New Roman" w:eastAsia="Times New Roman"/>
          <w:sz w:val="18"/>
        </w:rPr>
        <w:t xml:space="preserve">“Scaffold-GS: Structured 3D gaussians for view-adaptive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20654–20664 (2024). DOI: https://doi.org/10.1109/cvpr52733.2024.01952.</w:t>
      </w:r>
    </w:p>
    <w:p>
      <w:pPr>
        <w:pStyle w:val="SPIEreferencelisting"/>
      </w:pPr>
      <w:r>
        <w:rPr>
          <w:rFonts w:ascii="Times New Roman" w:hAnsi="Times New Roman" w:eastAsia="Times New Roman"/>
          <w:sz w:val="18"/>
        </w:rPr>
        <w:t xml:space="preserve">Yu, Z., Chen, A., Huang, B., Sattler, T., and Geiger, A.,</w:t>
      </w:r>
      <w:r>
        <w:rPr>
          <w:rFonts w:ascii="Times New Roman" w:hAnsi="Times New Roman" w:eastAsia="Times New Roman"/>
          <w:sz w:val="18"/>
        </w:rPr>
        <w:t xml:space="preserve"> </w:t>
      </w:r>
      <w:r>
        <w:rPr>
          <w:rFonts w:ascii="Times New Roman" w:hAnsi="Times New Roman" w:eastAsia="Times New Roman"/>
          <w:sz w:val="18"/>
        </w:rPr>
        <w:t xml:space="preserve">“Mip-splatting: Alias-free 3D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19447–19456 (2024). DOI: https://doi.org/10.1109/cvpr52733.2024.01839.</w:t>
      </w:r>
    </w:p>
    <w:p>
      <w:pPr>
        <w:pStyle w:val="SPIEreferencelisting"/>
      </w:pPr>
      <w:r>
        <w:rPr>
          <w:rFonts w:ascii="Times New Roman" w:hAnsi="Times New Roman" w:eastAsia="Times New Roman"/>
          <w:sz w:val="18"/>
        </w:rPr>
        <w:t xml:space="preserve">Schönberger, J. L. and Frahm, J.-M.,</w:t>
      </w:r>
      <w:r>
        <w:rPr>
          <w:rFonts w:ascii="Times New Roman" w:hAnsi="Times New Roman" w:eastAsia="Times New Roman"/>
          <w:sz w:val="18"/>
        </w:rPr>
        <w:t xml:space="preserve"> </w:t>
      </w:r>
      <w:r>
        <w:rPr>
          <w:rFonts w:ascii="Times New Roman" w:hAnsi="Times New Roman" w:eastAsia="Times New Roman"/>
          <w:sz w:val="18"/>
        </w:rPr>
        <w:t xml:space="preserve">“Structure-from-motion revisited,”</w:t>
      </w:r>
      <w:r>
        <w:rPr>
          <w:rFonts w:ascii="Times New Roman" w:hAnsi="Times New Roman" w:eastAsia="Times New Roman"/>
          <w:sz w:val="18"/>
        </w:rPr>
        <w:t xml:space="preserve"> </w:t>
      </w:r>
      <w:r>
        <w:rPr>
          <w:rFonts w:ascii="Times New Roman" w:hAnsi="Times New Roman" w:eastAsia="Times New Roman"/>
          <w:sz w:val="18"/>
        </w:rPr>
        <w:t xml:space="preserve">in [Proc. IEEE Conference on Computer Vision and Pattern Recognition (CVPR)], 4104–4113 (2016). DOI: https://doi.org/10.1109/cvpr.2016.445.</w:t>
      </w:r>
    </w:p>
    <w:p>
      <w:pPr>
        <w:pStyle w:val="SPIEreferencelisting"/>
      </w:pPr>
      <w:r>
        <w:rPr>
          <w:rFonts w:ascii="Times New Roman" w:hAnsi="Times New Roman" w:eastAsia="Times New Roman"/>
          <w:sz w:val="18"/>
        </w:rPr>
        <w:t xml:space="preserve">Chung, J., Oh, J., and Lee, K. M.,</w:t>
      </w:r>
      <w:r>
        <w:rPr>
          <w:rFonts w:ascii="Times New Roman" w:hAnsi="Times New Roman" w:eastAsia="Times New Roman"/>
          <w:sz w:val="18"/>
        </w:rPr>
        <w:t xml:space="preserve"> </w:t>
      </w:r>
      <w:r>
        <w:rPr>
          <w:rFonts w:ascii="Times New Roman" w:hAnsi="Times New Roman" w:eastAsia="Times New Roman"/>
          <w:sz w:val="18"/>
        </w:rPr>
        <w:t xml:space="preserve">“Depth-regularized optimization for 3D gaussian splatting in few-shot images,”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Workshops (CVPRW)], 811–820 (2024). DOI: https://doi.org/10.1109/cvprw63382.2024.00086.</w:t>
      </w:r>
    </w:p>
    <w:p>
      <w:pPr>
        <w:pStyle w:val="SPIEreferencelisting"/>
      </w:pPr>
      <w:r>
        <w:rPr>
          <w:rFonts w:ascii="Times New Roman" w:hAnsi="Times New Roman" w:eastAsia="Times New Roman"/>
          <w:sz w:val="18"/>
        </w:rPr>
        <w:t xml:space="preserve">Xu, Y., Wang, L., Chen, M., Ao, S., Li, L., and Guo, Y.,</w:t>
      </w:r>
      <w:r>
        <w:rPr>
          <w:rFonts w:ascii="Times New Roman" w:hAnsi="Times New Roman" w:eastAsia="Times New Roman"/>
          <w:sz w:val="18"/>
        </w:rPr>
        <w:t xml:space="preserve"> </w:t>
      </w:r>
      <w:r>
        <w:rPr>
          <w:rFonts w:ascii="Times New Roman" w:hAnsi="Times New Roman" w:eastAsia="Times New Roman"/>
          <w:sz w:val="18"/>
        </w:rPr>
        <w:t xml:space="preserve">“DropoutGS: Dropping out gaussians for better sparse-view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701–710 (2025). DOI: https://doi.org/10.1109/cvpr52734.2025.00074.</w:t>
      </w:r>
    </w:p>
    <w:p>
      <w:pPr>
        <w:pStyle w:val="SPIEreferencelisting"/>
      </w:pPr>
      <w:r>
        <w:rPr>
          <w:rFonts w:ascii="Times New Roman" w:hAnsi="Times New Roman" w:eastAsia="Times New Roman"/>
          <w:sz w:val="18"/>
        </w:rPr>
        <w:t xml:space="preserve">Park, H., Ryu, G., and Kim, W.,</w:t>
      </w:r>
      <w:r>
        <w:rPr>
          <w:rFonts w:ascii="Times New Roman" w:hAnsi="Times New Roman" w:eastAsia="Times New Roman"/>
          <w:sz w:val="18"/>
        </w:rPr>
        <w:t xml:space="preserve"> </w:t>
      </w:r>
      <w:r>
        <w:rPr>
          <w:rFonts w:ascii="Times New Roman" w:hAnsi="Times New Roman" w:eastAsia="Times New Roman"/>
          <w:sz w:val="18"/>
        </w:rPr>
        <w:t xml:space="preserve">“DropGaussian: Structural regularization for sparse-view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21600–21609 (2025). DOI: https://doi.org/10.1109/cvpr52734.2025.02012.</w:t>
      </w:r>
    </w:p>
    <w:p>
      <w:pPr>
        <w:pStyle w:val="SPIEreferencelisting"/>
      </w:pPr>
      <w:r>
        <w:rPr>
          <w:rFonts w:ascii="Times New Roman" w:hAnsi="Times New Roman" w:eastAsia="Times New Roman"/>
          <w:sz w:val="18"/>
        </w:rPr>
        <w:t xml:space="preserve">Somraj, N. and Soundararajan, R.,</w:t>
      </w:r>
      <w:r>
        <w:rPr>
          <w:rFonts w:ascii="Times New Roman" w:hAnsi="Times New Roman" w:eastAsia="Times New Roman"/>
          <w:sz w:val="18"/>
        </w:rPr>
        <w:t xml:space="preserve"> </w:t>
      </w:r>
      <w:r>
        <w:rPr>
          <w:rFonts w:ascii="Times New Roman" w:hAnsi="Times New Roman" w:eastAsia="Times New Roman"/>
          <w:sz w:val="18"/>
        </w:rPr>
        <w:t xml:space="preserve">“ViP-NeRF: Visibility prior for sparse input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ACM SIGGRAPH Conference], 1–11 (2023). DOI: https://doi.org/10.1145/3588432.3591539.</w:t>
      </w:r>
    </w:p>
    <w:p>
      <w:pPr>
        <w:pStyle w:val="SPIEreferencelisting"/>
      </w:pPr>
      <w:r>
        <w:rPr>
          <w:rFonts w:ascii="Times New Roman" w:hAnsi="Times New Roman" w:eastAsia="Times New Roman"/>
          <w:sz w:val="18"/>
        </w:rPr>
        <w:t xml:space="preserve">Li, J., Zhang, J., Bai, X., Zheng, J., Ning, X., Zhou, J., and Gu, L.,</w:t>
      </w:r>
      <w:r>
        <w:rPr>
          <w:rFonts w:ascii="Times New Roman" w:hAnsi="Times New Roman" w:eastAsia="Times New Roman"/>
          <w:sz w:val="18"/>
        </w:rPr>
        <w:t xml:space="preserve"> </w:t>
      </w:r>
      <w:r>
        <w:rPr>
          <w:rFonts w:ascii="Times New Roman" w:hAnsi="Times New Roman" w:eastAsia="Times New Roman"/>
          <w:sz w:val="18"/>
        </w:rPr>
        <w:t xml:space="preserve">“DNGaussian: Optimizing sparse-view 3D gaussian radiance fields with global-local depth normalization,”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20775–20785 (2024). DOI: https://doi.org/10.1109/cvpr52733.2024.01963.</w:t>
      </w:r>
    </w:p>
    <w:p>
      <w:pPr>
        <w:pStyle w:val="SPIEreferencelisting"/>
      </w:pPr>
      <w:r>
        <w:rPr>
          <w:rFonts w:ascii="Times New Roman" w:hAnsi="Times New Roman" w:eastAsia="Times New Roman"/>
          <w:sz w:val="18"/>
        </w:rPr>
        <w:t xml:space="preserve">Zhu, Z., Fan, Z., Jiang, Y., and Wang, Z.,</w:t>
      </w:r>
      <w:r>
        <w:rPr>
          <w:rFonts w:ascii="Times New Roman" w:hAnsi="Times New Roman" w:eastAsia="Times New Roman"/>
          <w:sz w:val="18"/>
        </w:rPr>
        <w:t xml:space="preserve"> </w:t>
      </w:r>
      <w:r>
        <w:rPr>
          <w:rFonts w:ascii="Times New Roman" w:hAnsi="Times New Roman" w:eastAsia="Times New Roman"/>
          <w:sz w:val="18"/>
        </w:rPr>
        <w:t xml:space="preserve">“FSGS: Real-time few-shot view synthesis using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145–163 (2024). DOI: https://doi.org/10.1007/978-3-031-72933-1_9.</w:t>
      </w:r>
    </w:p>
    <w:p>
      <w:pPr>
        <w:pStyle w:val="SPIEreferencelisting"/>
      </w:pPr>
      <w:r>
        <w:rPr>
          <w:rFonts w:ascii="Times New Roman" w:hAnsi="Times New Roman" w:eastAsia="Times New Roman"/>
          <w:sz w:val="18"/>
        </w:rPr>
        <w:t xml:space="preserve">Zhang, J., Li, J., Yu, X., Huang, L., Gu, L., Zheng, J., and Bai, X.,</w:t>
      </w:r>
      <w:r>
        <w:rPr>
          <w:rFonts w:ascii="Times New Roman" w:hAnsi="Times New Roman" w:eastAsia="Times New Roman"/>
          <w:sz w:val="18"/>
        </w:rPr>
        <w:t xml:space="preserve"> </w:t>
      </w:r>
      <w:r>
        <w:rPr>
          <w:rFonts w:ascii="Times New Roman" w:hAnsi="Times New Roman" w:eastAsia="Times New Roman"/>
          <w:sz w:val="18"/>
        </w:rPr>
        <w:t xml:space="preserve">“CoR-GS: Sparse-view 3D gaussian splatting via co-regularization,”</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335–352 (2024). DOI: https://doi.org/10.1007/978-3-031-73232-4_19.</w:t>
      </w:r>
    </w:p>
    <w:p>
      <w:pPr>
        <w:pStyle w:val="SPIEreferencelisting"/>
      </w:pPr>
      <w:r>
        <w:rPr>
          <w:rFonts w:ascii="Times New Roman" w:hAnsi="Times New Roman" w:eastAsia="Times New Roman"/>
          <w:sz w:val="18"/>
        </w:rPr>
        <w:t xml:space="preserve">Mildenhall, B., Srinivasan, P. P., Tancik, M., Barron, J. T., Ramamoorthi, R., and Ng, R.,</w:t>
      </w:r>
      <w:r>
        <w:rPr>
          <w:rFonts w:ascii="Times New Roman" w:hAnsi="Times New Roman" w:eastAsia="Times New Roman"/>
          <w:sz w:val="18"/>
        </w:rPr>
        <w:t xml:space="preserve"> </w:t>
      </w:r>
      <w:r>
        <w:rPr>
          <w:rFonts w:ascii="Times New Roman" w:hAnsi="Times New Roman" w:eastAsia="Times New Roman"/>
          <w:sz w:val="18"/>
        </w:rPr>
        <w:t xml:space="preserve">“NeRF: Representing scenes as neural radiance fields for view synthesis,”</w:t>
      </w:r>
      <w:r>
        <w:rPr>
          <w:rFonts w:ascii="Times New Roman" w:hAnsi="Times New Roman" w:eastAsia="Times New Roman"/>
          <w:sz w:val="18"/>
        </w:rPr>
        <w:t xml:space="preserve"> </w:t>
      </w:r>
      <w:r>
        <w:rPr>
          <w:rFonts w:ascii="Times New Roman" w:hAnsi="Times New Roman" w:eastAsia="Times New Roman"/>
          <w:sz w:val="18"/>
        </w:rPr>
        <w:t xml:space="preserve">Communications of the ACM 65(1), 99–106 (2021). DOI: https://doi.org/10.1145/3503250.</w:t>
      </w:r>
    </w:p>
    <w:p>
      <w:pPr>
        <w:pStyle w:val="SPIEreferencelisting"/>
      </w:pPr>
      <w:r>
        <w:rPr>
          <w:rFonts w:ascii="Times New Roman" w:hAnsi="Times New Roman" w:eastAsia="Times New Roman"/>
          <w:sz w:val="18"/>
        </w:rPr>
        <w:t xml:space="preserve">Wang, G., Chen, Z., Loy, C. C., and Liu, Z.,</w:t>
      </w:r>
      <w:r>
        <w:rPr>
          <w:rFonts w:ascii="Times New Roman" w:hAnsi="Times New Roman" w:eastAsia="Times New Roman"/>
          <w:sz w:val="18"/>
        </w:rPr>
        <w:t xml:space="preserve"> </w:t>
      </w:r>
      <w:r>
        <w:rPr>
          <w:rFonts w:ascii="Times New Roman" w:hAnsi="Times New Roman" w:eastAsia="Times New Roman"/>
          <w:sz w:val="18"/>
        </w:rPr>
        <w:t xml:space="preserve">“SparseNeRF: Distilling depth ranking for few-shot novel view synthesis,”</w:t>
      </w:r>
      <w:r>
        <w:rPr>
          <w:rFonts w:ascii="Times New Roman" w:hAnsi="Times New Roman" w:eastAsia="Times New Roman"/>
          <w:sz w:val="18"/>
        </w:rPr>
        <w:t xml:space="preserve"> </w:t>
      </w:r>
      <w:r>
        <w:rPr>
          <w:rFonts w:ascii="Times New Roman" w:hAnsi="Times New Roman" w:eastAsia="Times New Roman"/>
          <w:sz w:val="18"/>
        </w:rPr>
        <w:t xml:space="preserve">in [Proc. IEEE/CVF International Conference on Computer Vision (ICCV)], 9031–9042 (2023). DOI: https://doi.org/10.1109/iccv51070.2023.00832.</w:t>
      </w:r>
    </w:p>
    <w:p>
      <w:pPr>
        <w:pStyle w:val="SPIEreferencelisting"/>
      </w:pPr>
      <w:r>
        <w:rPr>
          <w:rFonts w:ascii="Times New Roman" w:hAnsi="Times New Roman" w:eastAsia="Times New Roman"/>
          <w:sz w:val="18"/>
        </w:rPr>
        <w:t xml:space="preserve">Deng, K., Liu, A., Zhu, J.-Y., and Ramanan, D.,</w:t>
      </w:r>
      <w:r>
        <w:rPr>
          <w:rFonts w:ascii="Times New Roman" w:hAnsi="Times New Roman" w:eastAsia="Times New Roman"/>
          <w:sz w:val="18"/>
        </w:rPr>
        <w:t xml:space="preserve"> </w:t>
      </w:r>
      <w:r>
        <w:rPr>
          <w:rFonts w:ascii="Times New Roman" w:hAnsi="Times New Roman" w:eastAsia="Times New Roman"/>
          <w:sz w:val="18"/>
        </w:rPr>
        <w:t xml:space="preserve">“Depth-supervised NeRF: Fewer views and faster training for free,”</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12872–12881 (2022). DOI: https://doi.org/10.1109/cvpr52688.2022.01254.</w:t>
      </w:r>
    </w:p>
    <w:p>
      <w:pPr>
        <w:pStyle w:val="SPIEreferencelisting"/>
      </w:pPr>
      <w:r>
        <w:rPr>
          <w:rFonts w:ascii="Times New Roman" w:hAnsi="Times New Roman" w:eastAsia="Times New Roman"/>
          <w:sz w:val="18"/>
        </w:rPr>
        <w:t xml:space="preserve">Truong, P., Rakotosaona, M.-J., Manhardt, F., and Tombari, F.,</w:t>
      </w:r>
      <w:r>
        <w:rPr>
          <w:rFonts w:ascii="Times New Roman" w:hAnsi="Times New Roman" w:eastAsia="Times New Roman"/>
          <w:sz w:val="18"/>
        </w:rPr>
        <w:t xml:space="preserve"> </w:t>
      </w:r>
      <w:r>
        <w:rPr>
          <w:rFonts w:ascii="Times New Roman" w:hAnsi="Times New Roman" w:eastAsia="Times New Roman"/>
          <w:sz w:val="18"/>
        </w:rPr>
        <w:t xml:space="preserve">“SPARF: Neural radiance fields from sparse and noisy poses,”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4190–4200 (2023). DOI: https://doi.org/10.1109/cvpr52729.2023.00408.</w:t>
      </w:r>
    </w:p>
    <w:p>
      <w:pPr>
        <w:pStyle w:val="SPIEreferencelisting"/>
      </w:pPr>
      <w:r>
        <w:rPr>
          <w:rFonts w:ascii="Times New Roman" w:hAnsi="Times New Roman" w:eastAsia="Times New Roman"/>
          <w:sz w:val="18"/>
        </w:rPr>
        <w:t xml:space="preserve">Wu, R., Mildenhall, B., Henzler, P., Park, K., Gao, R., Watson, D., Srinivasan, P. P., Verbin, D., Barron, J. T., Poole, B., and Hoyński, A.,</w:t>
      </w:r>
      <w:r>
        <w:rPr>
          <w:rFonts w:ascii="Times New Roman" w:hAnsi="Times New Roman" w:eastAsia="Times New Roman"/>
          <w:sz w:val="18"/>
        </w:rPr>
        <w:t xml:space="preserve"> </w:t>
      </w:r>
      <w:r>
        <w:rPr>
          <w:rFonts w:ascii="Times New Roman" w:hAnsi="Times New Roman" w:eastAsia="Times New Roman"/>
          <w:sz w:val="18"/>
        </w:rPr>
        <w:t xml:space="preserve">“ReconFusion: 3D reconstruction with diffusion priors,”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21551–21561 (2024). DOI: https://doi.org/10.1109/cvpr52733.2024.02036.</w:t>
      </w:r>
    </w:p>
    <w:p>
      <w:pPr>
        <w:pStyle w:val="SPIEreferencelisting"/>
      </w:pPr>
      <w:r>
        <w:rPr>
          <w:rFonts w:ascii="Times New Roman" w:hAnsi="Times New Roman" w:eastAsia="Times New Roman"/>
          <w:sz w:val="18"/>
        </w:rPr>
        <w:t xml:space="preserve">Barron, J. T., Mildenhall, B., Verbin, D., Srinivasan, P. P., and Hedman, P.,</w:t>
      </w:r>
      <w:r>
        <w:rPr>
          <w:rFonts w:ascii="Times New Roman" w:hAnsi="Times New Roman" w:eastAsia="Times New Roman"/>
          <w:sz w:val="18"/>
        </w:rPr>
        <w:t xml:space="preserve"> </w:t>
      </w:r>
      <w:r>
        <w:rPr>
          <w:rFonts w:ascii="Times New Roman" w:hAnsi="Times New Roman" w:eastAsia="Times New Roman"/>
          <w:sz w:val="18"/>
        </w:rPr>
        <w:t xml:space="preserve">“Zip-NeRF: Anti-aliased grid-based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IEEE/CVF International Conference on Computer Vision (ICCV)], 19697–19705 (2023). DOI: https://doi.org/10.1109/iccv51070.2023.01804.</w:t>
      </w:r>
    </w:p>
    <w:p>
      <w:pPr>
        <w:pStyle w:val="SPIEreferencelisting"/>
      </w:pPr>
      <w:r>
        <w:rPr>
          <w:rFonts w:ascii="Times New Roman" w:hAnsi="Times New Roman" w:eastAsia="Times New Roman"/>
          <w:sz w:val="18"/>
        </w:rPr>
        <w:t xml:space="preserve">Yariv, L., Hedman, P., Reiser, C., Verbin, D., Srinivasan, P. P., Szeliski, R., Barron, J. T., and Mildenhall, B.,</w:t>
      </w:r>
      <w:r>
        <w:rPr>
          <w:rFonts w:ascii="Times New Roman" w:hAnsi="Times New Roman" w:eastAsia="Times New Roman"/>
          <w:sz w:val="18"/>
        </w:rPr>
        <w:t xml:space="preserve"> </w:t>
      </w:r>
      <w:r>
        <w:rPr>
          <w:rFonts w:ascii="Times New Roman" w:hAnsi="Times New Roman" w:eastAsia="Times New Roman"/>
          <w:sz w:val="18"/>
        </w:rPr>
        <w:t xml:space="preserve">“BakedSDF: Meshing neural SDFs for real-time view synthesis.”</w:t>
      </w:r>
      <w:r>
        <w:rPr>
          <w:rFonts w:ascii="Times New Roman" w:hAnsi="Times New Roman" w:eastAsia="Times New Roman"/>
          <w:sz w:val="18"/>
        </w:rPr>
        <w:t xml:space="preserve"> </w:t>
      </w:r>
      <w:r>
        <w:rPr>
          <w:rFonts w:ascii="Times New Roman" w:hAnsi="Times New Roman" w:eastAsia="Times New Roman"/>
          <w:sz w:val="18"/>
        </w:rPr>
        <w:t xml:space="preserve">arXiv preprint arXiv:2302.14859 (2023). DOI: https://doi.org/10.1145/3588432.3591536.</w:t>
      </w:r>
    </w:p>
    <w:p>
      <w:pPr>
        <w:pStyle w:val="SPIEreferencelisting"/>
      </w:pPr>
      <w:r>
        <w:rPr>
          <w:rFonts w:ascii="Times New Roman" w:hAnsi="Times New Roman" w:eastAsia="Times New Roman"/>
          <w:sz w:val="18"/>
        </w:rPr>
        <w:t xml:space="preserve">Guédon, A. and Lepetit, V.,</w:t>
      </w:r>
      <w:r>
        <w:rPr>
          <w:rFonts w:ascii="Times New Roman" w:hAnsi="Times New Roman" w:eastAsia="Times New Roman"/>
          <w:sz w:val="18"/>
        </w:rPr>
        <w:t xml:space="preserve"> </w:t>
      </w:r>
      <w:r>
        <w:rPr>
          <w:rFonts w:ascii="Times New Roman" w:hAnsi="Times New Roman" w:eastAsia="Times New Roman"/>
          <w:sz w:val="18"/>
        </w:rPr>
        <w:t xml:space="preserve">“SuGaR: Surface-aligned Gaussian splatting for efficient 3D mesh reconstruction and high-quality mesh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5354–5363 (2024). DOI: https://doi.org/10.1109/cvpr52733.2024.00512.</w:t>
      </w:r>
    </w:p>
    <w:p>
      <w:pPr>
        <w:pStyle w:val="SPIEreferencelisting"/>
      </w:pPr>
      <w:r>
        <w:rPr>
          <w:rFonts w:ascii="Times New Roman" w:hAnsi="Times New Roman" w:eastAsia="Times New Roman"/>
          <w:sz w:val="18"/>
        </w:rPr>
        <w:t xml:space="preserve">Huang, B., Yu, Z., Chen, A., Geiger, A., and Gao, S.,</w:t>
      </w:r>
      <w:r>
        <w:rPr>
          <w:rFonts w:ascii="Times New Roman" w:hAnsi="Times New Roman" w:eastAsia="Times New Roman"/>
          <w:sz w:val="18"/>
        </w:rPr>
        <w:t xml:space="preserve"> </w:t>
      </w:r>
      <w:r>
        <w:rPr>
          <w:rFonts w:ascii="Times New Roman" w:hAnsi="Times New Roman" w:eastAsia="Times New Roman"/>
          <w:sz w:val="18"/>
        </w:rPr>
        <w:t xml:space="preserve">“2D Gaussian splatting for geometrically accurate radiance fields.”</w:t>
      </w:r>
      <w:r>
        <w:rPr>
          <w:rFonts w:ascii="Times New Roman" w:hAnsi="Times New Roman" w:eastAsia="Times New Roman"/>
          <w:sz w:val="18"/>
        </w:rPr>
        <w:t xml:space="preserve"> </w:t>
      </w:r>
      <w:r>
        <w:rPr>
          <w:rFonts w:ascii="Times New Roman" w:hAnsi="Times New Roman" w:eastAsia="Times New Roman"/>
          <w:sz w:val="18"/>
        </w:rPr>
        <w:t xml:space="preserve">arXiv preprint arXiv:2403.17888 (2024). DOI: https://doi.org/10.1145/3641519.3657428.</w:t>
      </w:r>
    </w:p>
    <w:p>
      <w:pPr>
        <w:pStyle w:val="SPIEreferencelisting"/>
      </w:pPr>
      <w:r>
        <w:rPr>
          <w:rFonts w:ascii="Times New Roman" w:hAnsi="Times New Roman" w:eastAsia="Times New Roman"/>
          <w:sz w:val="18"/>
        </w:rPr>
        <w:t xml:space="preserve">Bao, Z., Liao, G., Zhou, K., Liu, K., Li, Q., and Qiu, G.,</w:t>
      </w:r>
      <w:r>
        <w:rPr>
          <w:rFonts w:ascii="Times New Roman" w:hAnsi="Times New Roman" w:eastAsia="Times New Roman"/>
          <w:sz w:val="18"/>
        </w:rPr>
        <w:t xml:space="preserve"> </w:t>
      </w:r>
      <w:r>
        <w:rPr>
          <w:rFonts w:ascii="Times New Roman" w:hAnsi="Times New Roman" w:eastAsia="Times New Roman"/>
          <w:sz w:val="18"/>
        </w:rPr>
        <w:t xml:space="preserve">“LoopSparseGS: Loop-based sparse-view friendly Gaussian splatting,”</w:t>
      </w:r>
      <w:r>
        <w:rPr>
          <w:rFonts w:ascii="Times New Roman" w:hAnsi="Times New Roman" w:eastAsia="Times New Roman"/>
          <w:sz w:val="18"/>
        </w:rPr>
        <w:t xml:space="preserve"> </w:t>
      </w:r>
      <w:r>
        <w:rPr>
          <w:rFonts w:ascii="Times New Roman" w:hAnsi="Times New Roman" w:eastAsia="Times New Roman"/>
          <w:sz w:val="18"/>
        </w:rPr>
        <w:t xml:space="preserve">IEEE Transactions on Image Processing 34, 3889–3902 (2025). DOI: https://doi.org/10.1109/TIP.2025.3574929.</w:t>
      </w:r>
    </w:p>
    <w:p>
      <w:pPr>
        <w:pStyle w:val="SPIEreferencelisting"/>
      </w:pPr>
      <w:r>
        <w:rPr>
          <w:rFonts w:ascii="Times New Roman" w:hAnsi="Times New Roman" w:eastAsia="Times New Roman"/>
          <w:sz w:val="18"/>
        </w:rPr>
        <w:t xml:space="preserve">Cheng, K., Long, X., Yang, K., Yao, Y., Yin, W., Ma, Y., Wang, W., and Chen, X.,</w:t>
      </w:r>
      <w:r>
        <w:rPr>
          <w:rFonts w:ascii="Times New Roman" w:hAnsi="Times New Roman" w:eastAsia="Times New Roman"/>
          <w:sz w:val="18"/>
        </w:rPr>
        <w:t xml:space="preserve"> </w:t>
      </w:r>
      <w:r>
        <w:rPr>
          <w:rFonts w:ascii="Times New Roman" w:hAnsi="Times New Roman" w:eastAsia="Times New Roman"/>
          <w:sz w:val="18"/>
        </w:rPr>
        <w:t xml:space="preserve">“GaussianPro: 3D Gaussian splatting with progressive propagation.”</w:t>
      </w:r>
      <w:r>
        <w:rPr>
          <w:rFonts w:ascii="Times New Roman" w:hAnsi="Times New Roman" w:eastAsia="Times New Roman"/>
          <w:sz w:val="18"/>
        </w:rPr>
        <w:t xml:space="preserve"> </w:t>
      </w:r>
      <w:r>
        <w:rPr>
          <w:rFonts w:ascii="Times New Roman" w:hAnsi="Times New Roman" w:eastAsia="Times New Roman"/>
          <w:sz w:val="18"/>
        </w:rPr>
        <w:t xml:space="preserve">arXiv preprint arXiv:2402.14650 (2024). DOI: https://doi.org/10.48550/arXiv.2402.14650.</w:t>
      </w:r>
    </w:p>
    <w:p>
      <w:pPr>
        <w:pStyle w:val="SPIEreferencelisting"/>
      </w:pPr>
      <w:r>
        <w:rPr>
          <w:rFonts w:ascii="Times New Roman" w:hAnsi="Times New Roman" w:eastAsia="Times New Roman"/>
          <w:sz w:val="18"/>
        </w:rPr>
        <w:t xml:space="preserve">Zhou, Z., Xiong, Y.-J., Zhang, J.-C., Xia, C.-M., Qiu, X., and Zhan, H.,</w:t>
      </w:r>
      <w:r>
        <w:rPr>
          <w:rFonts w:ascii="Times New Roman" w:hAnsi="Times New Roman" w:eastAsia="Times New Roman"/>
          <w:sz w:val="18"/>
        </w:rPr>
        <w:t xml:space="preserve"> </w:t>
      </w:r>
      <w:r>
        <w:rPr>
          <w:rFonts w:ascii="Times New Roman" w:hAnsi="Times New Roman" w:eastAsia="Times New Roman"/>
          <w:sz w:val="18"/>
        </w:rPr>
        <w:t xml:space="preserve">“Gradient-direction-aware density control for 3D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arXiv:2508.09239 (2025). DOI: https://doi.org/10.48550/arXiv.2508.09239.</w:t>
      </w:r>
    </w:p>
    <w:p>
      <w:pPr>
        <w:pStyle w:val="SPIEreferencelisting"/>
      </w:pPr>
      <w:r>
        <w:rPr>
          <w:rFonts w:ascii="Times New Roman" w:hAnsi="Times New Roman" w:eastAsia="Times New Roman"/>
          <w:sz w:val="18"/>
        </w:rPr>
        <w:t xml:space="preserve">Zheng, Y., Jiang, Z., He, S., Sun, Y., Dong, J., Zhang, H., and Du, Y.,</w:t>
      </w:r>
      <w:r>
        <w:rPr>
          <w:rFonts w:ascii="Times New Roman" w:hAnsi="Times New Roman" w:eastAsia="Times New Roman"/>
          <w:sz w:val="18"/>
        </w:rPr>
        <w:t xml:space="preserve"> </w:t>
      </w:r>
      <w:r>
        <w:rPr>
          <w:rFonts w:ascii="Times New Roman" w:hAnsi="Times New Roman" w:eastAsia="Times New Roman"/>
          <w:sz w:val="18"/>
        </w:rPr>
        <w:t xml:space="preserve">“NexusGS: Sparse view synthesis with epipolar depth priors in 3D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26800–26809 (2025). DOI: https://doi.org/10.1109/cvpr52734.2025.02496.</w:t>
      </w:r>
    </w:p>
    <w:p>
      <w:pPr>
        <w:pStyle w:val="SPIEreferencelisting"/>
      </w:pPr>
      <w:r>
        <w:rPr>
          <w:rFonts w:ascii="Times New Roman" w:hAnsi="Times New Roman" w:eastAsia="Times New Roman"/>
          <w:sz w:val="18"/>
        </w:rPr>
        <w:t xml:space="preserve">Patle, G., Girgaonkar, N., Somraj, N., and Soundararajan, R.,</w:t>
      </w:r>
      <w:r>
        <w:rPr>
          <w:rFonts w:ascii="Times New Roman" w:hAnsi="Times New Roman" w:eastAsia="Times New Roman"/>
          <w:sz w:val="18"/>
        </w:rPr>
        <w:t xml:space="preserve"> </w:t>
      </w:r>
      <w:r>
        <w:rPr>
          <w:rFonts w:ascii="Times New Roman" w:hAnsi="Times New Roman" w:eastAsia="Times New Roman"/>
          <w:sz w:val="18"/>
        </w:rPr>
        <w:t xml:space="preserve">“AD-GS: Alternating densification for sparse-input 3D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arXiv:2509.11003 (2025). DOI: https://doi.org/10.1145/3757377.3763993.</w:t>
      </w:r>
    </w:p>
    <w:p>
      <w:pPr>
        <w:pStyle w:val="SPIEreferencelisting"/>
      </w:pPr>
      <w:r>
        <w:rPr>
          <w:rFonts w:ascii="Times New Roman" w:hAnsi="Times New Roman" w:eastAsia="Times New Roman"/>
          <w:sz w:val="18"/>
        </w:rPr>
        <w:t xml:space="preserve">Xiong, H., Muttukuru, S., Upadhyay, R., Chari, P., and Kadambi, A.,</w:t>
      </w:r>
      <w:r>
        <w:rPr>
          <w:rFonts w:ascii="Times New Roman" w:hAnsi="Times New Roman" w:eastAsia="Times New Roman"/>
          <w:sz w:val="18"/>
        </w:rPr>
        <w:t xml:space="preserve"> </w:t>
      </w:r>
      <w:r>
        <w:rPr>
          <w:rFonts w:ascii="Times New Roman" w:hAnsi="Times New Roman" w:eastAsia="Times New Roman"/>
          <w:sz w:val="18"/>
        </w:rPr>
        <w:t xml:space="preserve">“SparseGS: Real-time 360° sparse view synthesis using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International Conference on 3D Vision (3DV)], (2025). DOI: https://doi.org/10.1109/3dv66043.2025.00100.</w:t>
      </w:r>
    </w:p>
    <w:p>
      <w:pPr>
        <w:pStyle w:val="SPIEreferencelisting"/>
      </w:pPr>
      <w:r>
        <w:rPr>
          <w:rFonts w:ascii="Times New Roman" w:hAnsi="Times New Roman" w:eastAsia="Times New Roman"/>
          <w:sz w:val="18"/>
        </w:rPr>
        <w:t xml:space="preserve">Fang, S., Shen, I.-C., Zhang, X., Wang, Z., Wang, Y., Ding, W., Yu, G., and Igarashi, T.,</w:t>
      </w:r>
      <w:r>
        <w:rPr>
          <w:rFonts w:ascii="Times New Roman" w:hAnsi="Times New Roman" w:eastAsia="Times New Roman"/>
          <w:sz w:val="18"/>
        </w:rPr>
        <w:t xml:space="preserve"> </w:t>
      </w:r>
      <w:r>
        <w:rPr>
          <w:rFonts w:ascii="Times New Roman" w:hAnsi="Times New Roman" w:eastAsia="Times New Roman"/>
          <w:sz w:val="18"/>
        </w:rPr>
        <w:t xml:space="preserve">“Dropping anchor and spherical harmonics for sparse-view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arXiv:2602.20933 (2026). DOI: https://doi.org/10.48550/arXiv.2602.20933.</w:t>
      </w:r>
    </w:p>
    <w:p>
      <w:pPr>
        <w:pStyle w:val="SPIEreferencelisting"/>
      </w:pPr>
      <w:r>
        <w:rPr>
          <w:rFonts w:ascii="Times New Roman" w:hAnsi="Times New Roman" w:eastAsia="Times New Roman"/>
          <w:sz w:val="18"/>
        </w:rPr>
        <w:t xml:space="preserve">Wang, S., Leroy, V., Cabon, Y., Chidlovskii, B., and Revaud, J.,</w:t>
      </w:r>
      <w:r>
        <w:rPr>
          <w:rFonts w:ascii="Times New Roman" w:hAnsi="Times New Roman" w:eastAsia="Times New Roman"/>
          <w:sz w:val="18"/>
        </w:rPr>
        <w:t xml:space="preserve"> </w:t>
      </w:r>
      <w:r>
        <w:rPr>
          <w:rFonts w:ascii="Times New Roman" w:hAnsi="Times New Roman" w:eastAsia="Times New Roman"/>
          <w:sz w:val="18"/>
        </w:rPr>
        <w:t xml:space="preserve">“DUSt3R: Geometric 3D vision made easy,”</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20697–20709 (2024). DOI: https://doi.org/10.1109/cvpr52733.2024.01956.</w:t>
      </w:r>
    </w:p>
    <w:p>
      <w:pPr>
        <w:pStyle w:val="SPIEreferencelisting"/>
      </w:pPr>
      <w:r>
        <w:rPr>
          <w:rFonts w:ascii="Times New Roman" w:hAnsi="Times New Roman" w:eastAsia="Times New Roman"/>
          <w:sz w:val="18"/>
        </w:rPr>
        <w:t xml:space="preserve">Fan, Z., Cong, W., Wen, K., Wang, K., Zhang, J., Ding, X., Xu, D., Ivanovic, B., Pavone, M., Pavlakos, G., Wang, Z., and Wang, Y.,</w:t>
      </w:r>
      <w:r>
        <w:rPr>
          <w:rFonts w:ascii="Times New Roman" w:hAnsi="Times New Roman" w:eastAsia="Times New Roman"/>
          <w:sz w:val="18"/>
        </w:rPr>
        <w:t xml:space="preserve"> </w:t>
      </w:r>
      <w:r>
        <w:rPr>
          <w:rFonts w:ascii="Times New Roman" w:hAnsi="Times New Roman" w:eastAsia="Times New Roman"/>
          <w:sz w:val="18"/>
        </w:rPr>
        <w:t xml:space="preserve">“InstantSplat: Sparse-view Gaussian splatting in seconds.”</w:t>
      </w:r>
      <w:r>
        <w:rPr>
          <w:rFonts w:ascii="Times New Roman" w:hAnsi="Times New Roman" w:eastAsia="Times New Roman"/>
          <w:sz w:val="18"/>
        </w:rPr>
        <w:t xml:space="preserve"> </w:t>
      </w:r>
      <w:r>
        <w:rPr>
          <w:rFonts w:ascii="Times New Roman" w:hAnsi="Times New Roman" w:eastAsia="Times New Roman"/>
          <w:sz w:val="18"/>
        </w:rPr>
        <w:t xml:space="preserve">arXiv preprint arXiv:2403.20309 (2024). DOI: https://doi.org/10.48550/arXiv.2403.20309.</w:t>
      </w:r>
    </w:p>
    <w:p>
      <w:pPr>
        <w:pStyle w:val="SPIEreferencelisting"/>
      </w:pPr>
      <w:r>
        <w:rPr>
          <w:rFonts w:ascii="Times New Roman" w:hAnsi="Times New Roman" w:eastAsia="Times New Roman"/>
          <w:sz w:val="18"/>
        </w:rPr>
        <w:t xml:space="preserve">Charatan, D., Li, S. L., Tagliasacchi, A., and Sitzmann, V.,</w:t>
      </w:r>
      <w:r>
        <w:rPr>
          <w:rFonts w:ascii="Times New Roman" w:hAnsi="Times New Roman" w:eastAsia="Times New Roman"/>
          <w:sz w:val="18"/>
        </w:rPr>
        <w:t xml:space="preserve"> </w:t>
      </w:r>
      <w:r>
        <w:rPr>
          <w:rFonts w:ascii="Times New Roman" w:hAnsi="Times New Roman" w:eastAsia="Times New Roman"/>
          <w:sz w:val="18"/>
        </w:rPr>
        <w:t xml:space="preserve">“pixelSplat: 3D Gaussian splats from image pairs for scalable generalizable 3D reconstruction,”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19457–19467 (2024). DOI: https://doi.org/10.1109/cvpr52733.2024.01840.</w:t>
      </w:r>
    </w:p>
    <w:p>
      <w:pPr>
        <w:pStyle w:val="SPIEreferencelisting"/>
      </w:pPr>
      <w:r>
        <w:rPr>
          <w:rFonts w:ascii="Times New Roman" w:hAnsi="Times New Roman" w:eastAsia="Times New Roman"/>
          <w:sz w:val="18"/>
        </w:rPr>
        <w:t xml:space="preserve">Chen, Y., Xu, H., Zheng, C., Zhuang, B., Pollefeys, M., Geiger, A., Cham, T.-J., and Cai, J.,</w:t>
      </w:r>
      <w:r>
        <w:rPr>
          <w:rFonts w:ascii="Times New Roman" w:hAnsi="Times New Roman" w:eastAsia="Times New Roman"/>
          <w:sz w:val="18"/>
        </w:rPr>
        <w:t xml:space="preserve"> </w:t>
      </w:r>
      <w:r>
        <w:rPr>
          <w:rFonts w:ascii="Times New Roman" w:hAnsi="Times New Roman" w:eastAsia="Times New Roman"/>
          <w:sz w:val="18"/>
        </w:rPr>
        <w:t xml:space="preserve">“MVSplat: Efficient 3D Gaussian splatting from sparse multi-view images,”</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370–381 (2024). DOI: https://doi.org/10.1007/978-3-031-72664-4_21.</w:t>
      </w:r>
    </w:p>
    <w:p>
      <w:pPr>
        <w:pStyle w:val="SPIEreferencelisting"/>
      </w:pPr>
      <w:r>
        <w:rPr>
          <w:rFonts w:ascii="Times New Roman" w:hAnsi="Times New Roman" w:eastAsia="Times New Roman"/>
          <w:sz w:val="18"/>
        </w:rPr>
        <w:t xml:space="preserve">Cao, C., Ren, X., and Fu, Y.,</w:t>
      </w:r>
      <w:r>
        <w:rPr>
          <w:rFonts w:ascii="Times New Roman" w:hAnsi="Times New Roman" w:eastAsia="Times New Roman"/>
          <w:sz w:val="18"/>
        </w:rPr>
        <w:t xml:space="preserve"> </w:t>
      </w:r>
      <w:r>
        <w:rPr>
          <w:rFonts w:ascii="Times New Roman" w:hAnsi="Times New Roman" w:eastAsia="Times New Roman"/>
          <w:sz w:val="18"/>
        </w:rPr>
        <w:t xml:space="preserve">“MVSFormer++: Revealing the devil in transformer’s details for multi-view stereo.”</w:t>
      </w:r>
      <w:r>
        <w:rPr>
          <w:rFonts w:ascii="Times New Roman" w:hAnsi="Times New Roman" w:eastAsia="Times New Roman"/>
          <w:sz w:val="18"/>
        </w:rPr>
        <w:t xml:space="preserve"> </w:t>
      </w:r>
      <w:r>
        <w:rPr>
          <w:rFonts w:ascii="Times New Roman" w:hAnsi="Times New Roman" w:eastAsia="Times New Roman"/>
          <w:sz w:val="18"/>
        </w:rPr>
        <w:t xml:space="preserve">arXiv preprint arXiv:2401.11673 (2024). DOI: https://doi.org/10.48550/arXiv.2401.11673.</w:t>
      </w:r>
    </w:p>
    <w:p>
      <w:pPr>
        <w:pStyle w:val="SPIEreferencelisting"/>
      </w:pPr>
      <w:r>
        <w:rPr>
          <w:rFonts w:ascii="Times New Roman" w:hAnsi="Times New Roman" w:eastAsia="Times New Roman"/>
          <w:sz w:val="18"/>
        </w:rPr>
        <w:t xml:space="preserve">Yang, L., Kang, B., Huang, Z., Zhao, Z., Xu, X., Feng, J., and Zhao, H.,</w:t>
      </w:r>
      <w:r>
        <w:rPr>
          <w:rFonts w:ascii="Times New Roman" w:hAnsi="Times New Roman" w:eastAsia="Times New Roman"/>
          <w:sz w:val="18"/>
        </w:rPr>
        <w:t xml:space="preserve"> </w:t>
      </w:r>
      <w:r>
        <w:rPr>
          <w:rFonts w:ascii="Times New Roman" w:hAnsi="Times New Roman" w:eastAsia="Times New Roman"/>
          <w:sz w:val="18"/>
        </w:rPr>
        <w:t xml:space="preserve">“Depth anything V2,”</w:t>
      </w:r>
      <w:r>
        <w:rPr>
          <w:rFonts w:ascii="Times New Roman" w:hAnsi="Times New Roman" w:eastAsia="Times New Roman"/>
          <w:sz w:val="18"/>
        </w:rPr>
        <w:t xml:space="preserve"> </w:t>
      </w:r>
      <w:r>
        <w:rPr>
          <w:rFonts w:ascii="Times New Roman" w:hAnsi="Times New Roman" w:eastAsia="Times New Roman"/>
          <w:sz w:val="18"/>
        </w:rPr>
        <w:t xml:space="preserve">in [Advances in Neural Information Processing Systems (NeurIPS)], 37, 21875–21911 (2024). DOI: https://doi.org/10.52202/079017-0688.</w:t>
      </w:r>
    </w:p>
    <w:p>
      <w:pPr>
        <w:pStyle w:val="SPIEreferencelisting"/>
      </w:pPr>
      <w:r>
        <w:rPr>
          <w:rFonts w:ascii="Times New Roman" w:hAnsi="Times New Roman" w:eastAsia="Times New Roman"/>
          <w:sz w:val="18"/>
        </w:rPr>
        <w:t xml:space="preserve">Wang, R., Xu, S., Dai, C., Xiang, J., Deng, Y., Tong, X., and Yang, J.,</w:t>
      </w:r>
      <w:r>
        <w:rPr>
          <w:rFonts w:ascii="Times New Roman" w:hAnsi="Times New Roman" w:eastAsia="Times New Roman"/>
          <w:sz w:val="18"/>
        </w:rPr>
        <w:t xml:space="preserve"> </w:t>
      </w:r>
      <w:r>
        <w:rPr>
          <w:rFonts w:ascii="Times New Roman" w:hAnsi="Times New Roman" w:eastAsia="Times New Roman"/>
          <w:sz w:val="18"/>
        </w:rPr>
        <w:t xml:space="preserve">“MoGe: Unlocking accurate monocular geometry estimation for open-domain images with optimal training supervision.”</w:t>
      </w:r>
      <w:r>
        <w:rPr>
          <w:rFonts w:ascii="Times New Roman" w:hAnsi="Times New Roman" w:eastAsia="Times New Roman"/>
          <w:sz w:val="18"/>
        </w:rPr>
        <w:t xml:space="preserve"> </w:t>
      </w:r>
      <w:r>
        <w:rPr>
          <w:rFonts w:ascii="Times New Roman" w:hAnsi="Times New Roman" w:eastAsia="Times New Roman"/>
          <w:sz w:val="18"/>
        </w:rPr>
        <w:t xml:space="preserve">arXiv preprint arXiv:2410.19115 (2024). DOI: https://doi.org/10.1109/cvpr52734.2025.00496.</w:t>
      </w:r>
    </w:p>
    <w:p>
      <w:pPr>
        <w:pStyle w:val="SPIEreferencelisting"/>
      </w:pPr>
      <w:r>
        <w:rPr>
          <w:rFonts w:ascii="Times New Roman" w:hAnsi="Times New Roman" w:eastAsia="Times New Roman"/>
          <w:sz w:val="18"/>
        </w:rPr>
        <w:t xml:space="preserve">Wang, J., Chen, M., Karaev, N., Vedaldi, A., Rupprecht, C., and Novotny, D.,</w:t>
      </w:r>
      <w:r>
        <w:rPr>
          <w:rFonts w:ascii="Times New Roman" w:hAnsi="Times New Roman" w:eastAsia="Times New Roman"/>
          <w:sz w:val="18"/>
        </w:rPr>
        <w:t xml:space="preserve"> </w:t>
      </w:r>
      <w:r>
        <w:rPr>
          <w:rFonts w:ascii="Times New Roman" w:hAnsi="Times New Roman" w:eastAsia="Times New Roman"/>
          <w:sz w:val="18"/>
        </w:rPr>
        <w:t xml:space="preserve">“VGGT: Visual geometry grounded transformer,”</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5294–5306 (2025). DOI: https://doi.org/10.1109/cvpr52734.2025.00499.</w:t>
      </w:r>
    </w:p>
    <w:p>
      <w:pPr>
        <w:pStyle w:val="SPIEreferencelisting"/>
      </w:pPr>
      <w:r>
        <w:rPr>
          <w:rFonts w:ascii="Times New Roman" w:hAnsi="Times New Roman" w:eastAsia="Times New Roman"/>
          <w:sz w:val="18"/>
        </w:rPr>
        <w:t xml:space="preserve">Li, J., Wen, Z., Zhang, L., Hu, J., Hou, F., Zhang, Z., and He, Y.,</w:t>
      </w:r>
      <w:r>
        <w:rPr>
          <w:rFonts w:ascii="Times New Roman" w:hAnsi="Times New Roman" w:eastAsia="Times New Roman"/>
          <w:sz w:val="18"/>
        </w:rPr>
        <w:t xml:space="preserve"> </w:t>
      </w:r>
      <w:r>
        <w:rPr>
          <w:rFonts w:ascii="Times New Roman" w:hAnsi="Times New Roman" w:eastAsia="Times New Roman"/>
          <w:sz w:val="18"/>
        </w:rPr>
        <w:t xml:space="preserve">“GS-Octree: Octree-based 3D Gaussian splatting for robust object-level 3D reconstruction under strong lighting.”</w:t>
      </w:r>
      <w:r>
        <w:rPr>
          <w:rFonts w:ascii="Times New Roman" w:hAnsi="Times New Roman" w:eastAsia="Times New Roman"/>
          <w:sz w:val="18"/>
        </w:rPr>
        <w:t xml:space="preserve"> </w:t>
      </w:r>
      <w:r>
        <w:rPr>
          <w:rFonts w:ascii="Times New Roman" w:hAnsi="Times New Roman" w:eastAsia="Times New Roman"/>
          <w:sz w:val="18"/>
        </w:rPr>
        <w:t xml:space="preserve">arXiv preprint arXiv:2406.18199 (2024). DOI: https://doi.org/10.1111/cgf.15206.</w:t>
      </w:r>
    </w:p>
    <w:p>
      <w:pPr>
        <w:pStyle w:val="SPIEreferencelisting"/>
      </w:pPr>
      <w:r>
        <w:rPr>
          <w:rFonts w:ascii="Times New Roman" w:hAnsi="Times New Roman" w:eastAsia="Times New Roman"/>
          <w:sz w:val="18"/>
        </w:rPr>
        <w:t xml:space="preserve">Laurentini, A.,</w:t>
      </w:r>
      <w:r>
        <w:rPr>
          <w:rFonts w:ascii="Times New Roman" w:hAnsi="Times New Roman" w:eastAsia="Times New Roman"/>
          <w:sz w:val="18"/>
        </w:rPr>
        <w:t xml:space="preserve"> </w:t>
      </w:r>
      <w:r>
        <w:rPr>
          <w:rFonts w:ascii="Times New Roman" w:hAnsi="Times New Roman" w:eastAsia="Times New Roman"/>
          <w:sz w:val="18"/>
        </w:rPr>
        <w:t xml:space="preserve">“The visual hull concept for silhouette-based image understanding,”</w:t>
      </w:r>
      <w:r>
        <w:rPr>
          <w:rFonts w:ascii="Times New Roman" w:hAnsi="Times New Roman" w:eastAsia="Times New Roman"/>
          <w:sz w:val="18"/>
        </w:rPr>
        <w:t xml:space="preserve"> </w:t>
      </w:r>
      <w:r>
        <w:rPr>
          <w:rFonts w:ascii="Times New Roman" w:hAnsi="Times New Roman" w:eastAsia="Times New Roman"/>
          <w:sz w:val="18"/>
        </w:rPr>
        <w:t xml:space="preserve">IEEE Transactions on Pattern Analysis and Machine Intelligence 16(2), 150–162 (1994). DOI: https://doi.org/10.1109/34.273735.</w:t>
      </w:r>
    </w:p>
    <w:p>
      <w:pPr>
        <w:pStyle w:val="SPIEreferencelisting"/>
      </w:pPr>
      <w:r>
        <w:rPr>
          <w:rFonts w:ascii="Times New Roman" w:hAnsi="Times New Roman" w:eastAsia="Times New Roman"/>
          <w:sz w:val="18"/>
        </w:rPr>
        <w:t xml:space="preserve">Zhang, B., Fang, C., Shrestha, R., Liang, Y., Long, X., and Tan, P.,</w:t>
      </w:r>
      <w:r>
        <w:rPr>
          <w:rFonts w:ascii="Times New Roman" w:hAnsi="Times New Roman" w:eastAsia="Times New Roman"/>
          <w:sz w:val="18"/>
        </w:rPr>
        <w:t xml:space="preserve"> </w:t>
      </w:r>
      <w:r>
        <w:rPr>
          <w:rFonts w:ascii="Times New Roman" w:hAnsi="Times New Roman" w:eastAsia="Times New Roman"/>
          <w:sz w:val="18"/>
        </w:rPr>
        <w:t xml:space="preserve">“RaDe-GS: Rasterizing depth in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arXiv:2406.01467 (2024). DOI: https://doi.org/10.1145/3789201.</w:t>
      </w:r>
    </w:p>
    <w:p>
      <w:pPr>
        <w:pStyle w:val="SPIEreferencelisting"/>
      </w:pPr>
      <w:r>
        <w:rPr>
          <w:rFonts w:ascii="Times New Roman" w:hAnsi="Times New Roman" w:eastAsia="Times New Roman"/>
          <w:sz w:val="18"/>
        </w:rPr>
        <w:t xml:space="preserve">Sabour, S., Goli, L., Kopanas, G., Matthews, M., Lagun, D., Guibas, L., Jacobson, A., Fleet, D. J., and Tagliasacchi, A.,</w:t>
      </w:r>
      <w:r>
        <w:rPr>
          <w:rFonts w:ascii="Times New Roman" w:hAnsi="Times New Roman" w:eastAsia="Times New Roman"/>
          <w:sz w:val="18"/>
        </w:rPr>
        <w:t xml:space="preserve"> </w:t>
      </w:r>
      <w:r>
        <w:rPr>
          <w:rFonts w:ascii="Times New Roman" w:hAnsi="Times New Roman" w:eastAsia="Times New Roman"/>
          <w:sz w:val="18"/>
        </w:rPr>
        <w:t xml:space="preserve">“SpotlessSplats: Ignoring distractors in 3D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arXiv:2406.20055 (2024). DOI: https://doi.org/10.1145/3727143.</w:t>
      </w:r>
    </w:p>
    <w:p>
      <w:pPr>
        <w:pStyle w:val="SPIEreferencelisting"/>
      </w:pPr>
      <w:r>
        <w:rPr>
          <w:rFonts w:ascii="Times New Roman" w:hAnsi="Times New Roman" w:eastAsia="Times New Roman"/>
          <w:sz w:val="18"/>
        </w:rPr>
        <w:t xml:space="preserve">Kheradmand, S., Rebain, D., Sharma, G., Sun, W., Tseng, J., Isack, H., Kar, A., Tagliasacchi, A., and Yi, K. M.,</w:t>
      </w:r>
      <w:r>
        <w:rPr>
          <w:rFonts w:ascii="Times New Roman" w:hAnsi="Times New Roman" w:eastAsia="Times New Roman"/>
          <w:sz w:val="18"/>
        </w:rPr>
        <w:t xml:space="preserve"> </w:t>
      </w:r>
      <w:r>
        <w:rPr>
          <w:rFonts w:ascii="Times New Roman" w:hAnsi="Times New Roman" w:eastAsia="Times New Roman"/>
          <w:sz w:val="18"/>
        </w:rPr>
        <w:t xml:space="preserve">“3D Gaussian splatting as markov chain monte carlo.”</w:t>
      </w:r>
      <w:r>
        <w:rPr>
          <w:rFonts w:ascii="Times New Roman" w:hAnsi="Times New Roman" w:eastAsia="Times New Roman"/>
          <w:sz w:val="18"/>
        </w:rPr>
        <w:t xml:space="preserve"> </w:t>
      </w:r>
      <w:r>
        <w:rPr>
          <w:rFonts w:ascii="Times New Roman" w:hAnsi="Times New Roman" w:eastAsia="Times New Roman"/>
          <w:sz w:val="18"/>
        </w:rPr>
        <w:t xml:space="preserve">arXiv preprint arXiv:2404.09591 (2024). DOI: https://doi.org/10.52202/079017-2573.</w:t>
      </w:r>
    </w:p>
    <w:p>
      <w:pPr>
        <w:pStyle w:val="SPIEreferencelisting"/>
      </w:pPr>
      <w:r>
        <w:rPr>
          <w:rFonts w:ascii="Times New Roman" w:hAnsi="Times New Roman" w:eastAsia="Times New Roman"/>
          <w:sz w:val="18"/>
        </w:rPr>
        <w:t xml:space="preserve">Fang, G. and Wang, B.,</w:t>
      </w:r>
      <w:r>
        <w:rPr>
          <w:rFonts w:ascii="Times New Roman" w:hAnsi="Times New Roman" w:eastAsia="Times New Roman"/>
          <w:sz w:val="18"/>
        </w:rPr>
        <w:t xml:space="preserve"> </w:t>
      </w:r>
      <w:r>
        <w:rPr>
          <w:rFonts w:ascii="Times New Roman" w:hAnsi="Times New Roman" w:eastAsia="Times New Roman"/>
          <w:sz w:val="18"/>
        </w:rPr>
        <w:t xml:space="preserve">“Mini-splatting: Representing scenes with a constrained number of gaussians.”</w:t>
      </w:r>
      <w:r>
        <w:rPr>
          <w:rFonts w:ascii="Times New Roman" w:hAnsi="Times New Roman" w:eastAsia="Times New Roman"/>
          <w:sz w:val="18"/>
        </w:rPr>
        <w:t xml:space="preserve"> </w:t>
      </w:r>
      <w:r>
        <w:rPr>
          <w:rFonts w:ascii="Times New Roman" w:hAnsi="Times New Roman" w:eastAsia="Times New Roman"/>
          <w:sz w:val="18"/>
        </w:rPr>
        <w:t xml:space="preserve">arXiv preprint arXiv:2403.14166 (2024). DOI: https://doi.org/10.1007/978-3-031-72980-5_10.</w:t>
      </w:r>
    </w:p>
    <w:p>
      <w:pPr>
        <w:pStyle w:val="SPIEreferencelisting"/>
      </w:pPr>
      <w:r>
        <w:rPr>
          <w:rFonts w:ascii="Times New Roman" w:hAnsi="Times New Roman" w:eastAsia="Times New Roman"/>
          <w:sz w:val="18"/>
        </w:rPr>
        <w:t xml:space="preserve">Song, M., Lin, X., Zhang, D., Li, H., Li, X., Du, B., and Qi, L.,</w:t>
      </w:r>
      <w:r>
        <w:rPr>
          <w:rFonts w:ascii="Times New Roman" w:hAnsi="Times New Roman" w:eastAsia="Times New Roman"/>
          <w:sz w:val="18"/>
        </w:rPr>
        <w:t xml:space="preserve"> </w:t>
      </w:r>
      <w:r>
        <w:rPr>
          <w:rFonts w:ascii="Times New Roman" w:hAnsi="Times New Roman" w:eastAsia="Times New Roman"/>
          <w:sz w:val="18"/>
        </w:rPr>
        <w:t xml:space="preserve">“D2GS: Depth-and-density guided gaussian splatting for stable and accurate sparse-view reconstruction.”</w:t>
      </w:r>
      <w:r>
        <w:rPr>
          <w:rFonts w:ascii="Times New Roman" w:hAnsi="Times New Roman" w:eastAsia="Times New Roman"/>
          <w:sz w:val="18"/>
        </w:rPr>
        <w:t xml:space="preserve"> </w:t>
      </w:r>
      <w:r>
        <w:rPr>
          <w:rFonts w:ascii="Times New Roman" w:hAnsi="Times New Roman" w:eastAsia="Times New Roman"/>
          <w:sz w:val="18"/>
        </w:rPr>
        <w:t xml:space="preserve">arXiv preprint arXiv:2510.08566 (2025). DOI: https://doi.org/10.48550/arXiv.2510.08566.</w:t>
      </w:r>
    </w:p>
    <w:p>
      <w:pPr>
        <w:pStyle w:val="SPIEreferencelisting"/>
      </w:pPr>
      <w:r>
        <w:rPr>
          <w:rFonts w:ascii="Times New Roman" w:hAnsi="Times New Roman" w:eastAsia="Times New Roman"/>
          <w:sz w:val="18"/>
        </w:rPr>
        <w:t xml:space="preserve">Barron, J. T., Mildenhall, B., Verbin, D., Srinivasan, P. P., and Hedman, P.,</w:t>
      </w:r>
      <w:r>
        <w:rPr>
          <w:rFonts w:ascii="Times New Roman" w:hAnsi="Times New Roman" w:eastAsia="Times New Roman"/>
          <w:sz w:val="18"/>
        </w:rPr>
        <w:t xml:space="preserve"> </w:t>
      </w:r>
      <w:r>
        <w:rPr>
          <w:rFonts w:ascii="Times New Roman" w:hAnsi="Times New Roman" w:eastAsia="Times New Roman"/>
          <w:sz w:val="18"/>
        </w:rPr>
        <w:t xml:space="preserve">“Mip-NeRF 360: Unbounded anti-aliased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5460–5469 (2022). DOI: https://doi.org/10.1109/cvpr52688.2022.00539.</w:t>
      </w:r>
    </w:p>
    <w:p>
      <w:pPr>
        <w:pStyle w:val="SPIEreferencelisting"/>
      </w:pPr>
      <w:r>
        <w:rPr>
          <w:rFonts w:ascii="Times New Roman" w:hAnsi="Times New Roman" w:eastAsia="Times New Roman"/>
          <w:sz w:val="18"/>
        </w:rPr>
        <w:t xml:space="preserve">Mildenhall, B., Srinivasan, P. P., Ortiz-Cayon, R., Kalantari, N. K., Ramamoorthi, R., Ng, R., and Kar, A.,</w:t>
      </w:r>
      <w:r>
        <w:rPr>
          <w:rFonts w:ascii="Times New Roman" w:hAnsi="Times New Roman" w:eastAsia="Times New Roman"/>
          <w:sz w:val="18"/>
        </w:rPr>
        <w:t xml:space="preserve"> </w:t>
      </w:r>
      <w:r>
        <w:rPr>
          <w:rFonts w:ascii="Times New Roman" w:hAnsi="Times New Roman" w:eastAsia="Times New Roman"/>
          <w:sz w:val="18"/>
        </w:rPr>
        <w:t xml:space="preserve">“Local light field fusion: Practical view synthesis with prescriptive sampling guidelines,”</w:t>
      </w:r>
      <w:r>
        <w:rPr>
          <w:rFonts w:ascii="Times New Roman" w:hAnsi="Times New Roman" w:eastAsia="Times New Roman"/>
          <w:sz w:val="18"/>
        </w:rPr>
        <w:t xml:space="preserve"> </w:t>
      </w:r>
      <w:r>
        <w:rPr>
          <w:rFonts w:ascii="Times New Roman" w:hAnsi="Times New Roman" w:eastAsia="Times New Roman"/>
          <w:sz w:val="18"/>
        </w:rP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8" w:w="11906"/>
      <w:pgMar w:bottom="2801"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3" Type="http://schemas.openxmlformats.org/officeDocument/2006/relationships/image" Target="media/image3.wmf"/><Relationship Id="rId21" Type="http://schemas.openxmlformats.org/officeDocument/2006/relationships/header" Target="header1.xml"/><Relationship Id="rId11" Type="http://schemas.openxmlformats.org/officeDocument/2006/relationships/image" Target="media/image2.wmf"/><Relationship Id="rId15" Type="http://schemas.openxmlformats.org/officeDocument/2006/relationships/image" Target="media/image4.wmf"/><Relationship Id="rId19" Type="http://schemas.openxmlformats.org/officeDocument/2006/relationships/image" Target="media/image5.png"/><Relationship Id="rId22" Type="http://schemas.openxmlformats.org/officeDocument/2006/relationships/footer" Target="footer1.xml"/><Relationship Id="rId34" Type="http://schemas.openxmlformats.org/officeDocument/2006/relationships/image" Target="media/rId34.png"/><Relationship Id="rId46" Type="http://schemas.openxmlformats.org/officeDocument/2006/relationships/image" Target="media/rId46.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2026-10-13T05:27:01Z</dcterms:created>
  <dcterms:modified xsi:type="dcterms:W3CDTF">2026-10-13T05:27:01Z</dcterms:modified>
</cp:coreProperties>
</file>

<file path=docProps/custom.xml><?xml version="1.0" encoding="utf-8"?>
<Properties xmlns="http://schemas.openxmlformats.org/officeDocument/2006/custom-properties" xmlns:vt="http://schemas.openxmlformats.org/officeDocument/2006/docPropsVTypes"/>
</file>