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PIEpapertitle"/>
        <w:jc w:val="center"/>
      </w:pPr>
      <w:r>
        <w:rPr>
          <w:rFonts w:ascii="Times New Roman" w:hAnsi="Times New Roman" w:eastAsia="Times New Roman"/>
          <w:b/>
          <w:sz w:val="32"/>
        </w:rPr>
        <w:t>SynGS: Synergizing explicit geometry and transformer depth priors for sparse-view 3D Gaussian Splatting</w:t>
      </w:r>
    </w:p>
    <w:p>
      <w:pPr>
        <w:pStyle w:val="SPIEAuthors-Affils"/>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sz w:val="24"/>
        </w:rPr>
        <w:t>, and Lian Duan</w:t>
      </w:r>
      <w:r>
        <w:rPr>
          <w:rFonts w:ascii="Times New Roman" w:hAnsi="Times New Roman" w:eastAsia="Times New Roman"/>
          <w:sz w:val="24"/>
          <w:vertAlign w:val="superscript"/>
        </w:rPr>
        <w:t>a</w:t>
      </w:r>
    </w:p>
    <w:p>
      <w:pPr>
        <w:pStyle w:val="SPIEAuthors-Affils"/>
        <w:jc w:val="center"/>
      </w:pPr>
      <w:r>
        <w:rPr>
          <w:rFonts w:ascii="Times New Roman" w:hAnsi="Times New Roman" w:eastAsia="Times New Roman"/>
          <w:sz w:val="20"/>
          <w:vertAlign w:val="superscript"/>
        </w:rPr>
        <w:t>a</w:t>
      </w:r>
      <w:r>
        <w:rPr>
          <w:rFonts w:ascii="Times New Roman" w:hAnsi="Times New Roman" w:eastAsia="Times New Roman"/>
          <w:sz w:val="20"/>
        </w:rPr>
        <w:t>Communication University of China, State Key Laboratory of Media Convergence and Communication, Intelligent Network and Media Research Center, No. 1 Dingfuzhuang East Street, Chaoyang District, Beijing 100024, China</w:t>
      </w:r>
    </w:p>
    <w:p>
      <w:pPr>
        <w:pStyle w:val="SPIEbodytext"/>
        <w:jc w:val="center"/>
      </w:pPr>
      <w:r>
        <w:rPr>
          <w:rFonts w:ascii="Times New Roman" w:hAnsi="Times New Roman" w:eastAsia="Times New Roman"/>
          <w:sz w:val="20"/>
        </w:rPr>
        <w:t>*J.G.: E-mail: gjj@cuc.edu.cn</w:t>
      </w:r>
    </w:p>
    <w:p>
      <w:pPr>
        <w:pStyle w:val="SPIEbodytext"/>
        <w:jc w:val="center"/>
      </w:pPr>
      <w:r>
        <w:rPr>
          <w:rFonts w:ascii="Times New Roman" w:hAnsi="Times New Roman" w:eastAsia="Times New Roman"/>
          <w:sz w:val="20"/>
        </w:rPr>
        <w:t>A.Z.: E-mail: 2212433186@qq.com</w:t>
      </w:r>
    </w:p>
    <w:p>
      <w:pPr>
        <w:pStyle w:val="SPIEabstracttitle"/>
        <w:jc w:val="center"/>
      </w:pPr>
      <w:r>
        <w:rPr>
          <w:rFonts w:ascii="Times New Roman" w:hAnsi="Times New Roman" w:eastAsia="Times New Roman"/>
          <w:b/>
          <w:sz w:val="22"/>
        </w:rPr>
        <w:t>Abstract</w:t>
      </w:r>
    </w:p>
    <w:p>
      <w:pPr>
        <w:pStyle w:val="SPIEabstractbodytext"/>
        <w:jc w:val="both"/>
      </w:pPr>
      <w:r>
        <w:rPr>
          <w:rFonts w:ascii="Times New Roman" w:hAnsi="Times New Roman" w:eastAsia="Times New Roman"/>
          <w:sz w:val="20"/>
        </w:rPr>
        <w:t>In 360-degree scenes captured with sparse views, 3D Gaussian Splatting (3DGS) reconstruction is susceptible to the loss of edge detail, geometric instability in occluded regions, and overfitting to foreground regions. To address the reconstruction difficulties arising from limited input observations, we introduce SynGS, which incorporates explicit geometric constraints and depth information into the 3D Gaussian Splatting framework.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The experimental findings indicate favorable PSNR and SSIM results for SynGS. In the Mip-NeRF 360 experiments, its PSNR and SSIM values exceed those reported for the selected baseline methods under the evaluated input-view configurations, reaching 25.91 dB in PSNR and 0.948 in SSIM using only four input views. On LLFF, the improvements are more apparent in the four- and six-view settings, while the nine-view results remain comparable to those of other evaluated methods.</w:t>
      </w:r>
    </w:p>
    <w:p>
      <w:pPr>
        <w:pStyle w:val="SPIEkeywords"/>
      </w:pPr>
      <w:r>
        <w:rPr>
          <w:rFonts w:ascii="Times New Roman" w:hAnsi="Times New Roman" w:eastAsia="Times New Roman"/>
          <w:sz w:val="20"/>
        </w:rPr>
        <w:t>Keywords: Novel View Synthesis, 3D Gaussian Splatting, Few-shot reconstruction, Geometry Prior-Guided Reconstruction, Vision Transformer</w:t>
      </w:r>
    </w:p>
    <w:p>
      <w:pPr>
        <w:pStyle w:val="1"/>
      </w:pPr>
      <w:r>
        <w:rPr>
          <w:rFonts w:ascii="Times New Roman" w:hAnsi="Times New Roman" w:eastAsia="Times New Roman"/>
          <w:b/>
          <w:sz w:val="22"/>
        </w:rPr>
        <w:t xml:space="preserve">INTRODUCTION</w:t>
      </w:r>
    </w:p>
    <w:p>
      <w:pPr>
        <w:pStyle w:val="SPIEbodytext"/>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w:t>
      </w:r>
      <w:r>
        <w:rPr>
          <w:rFonts w:ascii="Times New Roman" w:hAnsi="Times New Roman" w:eastAsia="Times New Roman"/>
          <w:sz w:val="20"/>
        </w:rPr>
        <w:t xml:space="preserve">. Kerbl et al.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w:t>
      </w:r>
      <w:r>
        <w:rPr>
          <w:rFonts w:ascii="Times New Roman" w:hAnsi="Times New Roman" w:eastAsia="Times New Roman"/>
          <w:sz w:val="20"/>
        </w:rPr>
        <w:t xml:space="preserve">proposed 3D Gaussian Splatting (3DGS), which achieves fast training and real-time rendering through a tile-based rasterization mechanism. Subsequent developments have further enhanced the representation through structured Gaussian organization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w:t>
      </w:r>
      <w:r>
        <w:rPr>
          <w:rFonts w:ascii="Times New Roman" w:hAnsi="Times New Roman" w:eastAsia="Times New Roman"/>
          <w:sz w:val="20"/>
        </w:rPr>
        <w:t xml:space="preserve">. Under sparse views, Structure-from-Motion (SfM)</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[5]</w:t>
      </w:r>
      <w:r>
        <w:rPr>
          <w:rFonts w:ascii="Times New Roman" w:hAnsi="Times New Roman" w:eastAsia="Times New Roman"/>
          <w:sz w:val="20"/>
        </w:rPr>
        <w:t xml:space="preserve"> </w:t>
      </w:r>
      <w:r>
        <w:rPr>
          <w:rFonts w:ascii="Times New Roman" w:hAnsi="Times New Roman" w:eastAsia="Times New Roman"/>
          <w:sz w:val="20"/>
        </w:rPr>
        <w:t xml:space="preserve">often recovers incomplete point clouds. Since 3DGS relies on SfM cameras and sparse points for initialization, weak coverage harms geometric convergence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[6]</w:t>
      </w:r>
      <w:r>
        <w:rPr>
          <w:rFonts w:ascii="Times New Roman" w:hAnsi="Times New Roman" w:eastAsia="Times New Roman"/>
          <w:sz w:val="20"/>
        </w:rPr>
        <w:t xml:space="preserve">. Limited cross-view constraints further cause floaters and pseudo-geometry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[7]</w:t>
      </w:r>
      <w:r>
        <w:rPr>
          <w:rFonts w:ascii="Times New Roman" w:hAnsi="Times New Roman" w:eastAsia="Times New Roman"/>
          <w:sz w:val="20"/>
        </w:rPr>
        <w:t xml:space="preserve">, while sparse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w:t>
      </w:r>
      <w:r>
        <w:rPr>
          <w:rFonts w:ascii="Times New Roman" w:hAnsi="Times New Roman" w:eastAsia="Times New Roman"/>
          <w:sz w:val="20"/>
        </w:rPr>
        <w:t xml:space="preserve"> </w:t>
      </w:r>
      <w:r>
        <w:rPr>
          <w:rFonts w:ascii="Times New Roman" w:hAnsi="Times New Roman" w:eastAsia="Times New Roman"/>
          <w:sz w:val="20"/>
        </w:rPr>
        <w:t xml:space="preserve">and visibility imbalance aggravate overfitting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Existing sparse-view methods have explored depth regularization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[10]</w:t>
      </w:r>
      <w:r>
        <w:rPr>
          <w:rFonts w:ascii="Times New Roman" w:hAnsi="Times New Roman" w:eastAsia="Times New Roman"/>
          <w:sz w:val="20"/>
        </w:rPr>
        <w:t xml:space="preserve">, Gaussian densification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[11]</w:t>
      </w:r>
      <w:r>
        <w:rPr>
          <w:rFonts w:ascii="Times New Roman" w:hAnsi="Times New Roman" w:eastAsia="Times New Roman"/>
          <w:sz w:val="20"/>
        </w:rPr>
        <w:t xml:space="preserve">, co-regularization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[12]</w:t>
      </w:r>
      <w:r>
        <w:rPr>
          <w:rFonts w:ascii="Times New Roman" w:hAnsi="Times New Roman" w:eastAsia="Times New Roman"/>
          <w:sz w:val="20"/>
        </w:rPr>
        <w:t xml:space="preserve">, and Gaussian dropout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w:t>
      </w:r>
      <w:r>
        <w:rPr>
          <w:rFonts w:ascii="Times New Roman" w:hAnsi="Times New Roman" w:eastAsia="Times New Roman"/>
          <w:sz w:val="20"/>
        </w:rPr>
        <w:t xml:space="preserve"> </w:t>
      </w:r>
      <w:r>
        <w:rPr>
          <w:rFonts w:ascii="Times New Roman" w:hAnsi="Times New Roman" w:eastAsia="Times New Roman"/>
          <w:sz w:val="20"/>
        </w:rPr>
        <w:t xml:space="preserve">to improve reconstruction. Nevertheless, incomplete initial geometry and overfitting during optimization remain challenges when only a few observations are available. To mitigate these challenges, we develop SynGS within the sparse-view 3DGS setting, where geometry-guided Gaussian initialization is coupled with regularization during training. By strengthening initial geometric support and mitigating overfitting during optimization, SynGS improves reconstruction robustness under severely limited view coverage. The main contributions are:</w:t>
      </w:r>
    </w:p>
    <w:p>
      <w:pPr>
        <w:pStyle w:val="SPIEbodytext"/>
        <w:numPr>
          <w:ilvl w:val="0"/>
          <w:numId w:val="1001"/>
        </w:numPr>
        <w:jc w:val="both"/>
      </w:pP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 </w:t>
      </w:r>
      <w:r>
        <w:rPr>
          <w:rFonts w:ascii="Times New Roman" w:hAnsi="Times New Roman" w:eastAsia="Times New Roman"/>
          <w:sz w:val="20"/>
        </w:rPr>
        <w:t xml:space="preserve">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pPr>
        <w:pStyle w:val="SPIEbodytext"/>
        <w:numPr>
          <w:ilvl w:val="0"/>
          <w:numId w:val="1001"/>
        </w:numPr>
        <w:jc w:val="both"/>
      </w:pP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w:t>
      </w:r>
      <w:r>
        <w:rPr>
          <w:rFonts w:ascii="Times New Roman" w:hAnsi="Times New Roman" w:eastAsia="Times New Roman"/>
          <w:sz w:val="20"/>
        </w:rPr>
        <w:t xml:space="preserve">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pPr>
        <w:pStyle w:val="SPIEbodytext"/>
        <w:numPr>
          <w:ilvl w:val="0"/>
          <w:numId w:val="1001"/>
        </w:numPr>
        <w:jc w:val="both"/>
      </w:pPr>
      <w:r>
        <w:rPr>
          <w:rFonts w:ascii="Times New Roman" w:hAnsi="Times New Roman" w:eastAsia="Times New Roman"/>
          <w:b/>
          <w:bCs/>
          <w:sz w:val="20"/>
        </w:rPr>
        <w:t xml:space="preserve">Dynamic Visibility Regularization.</w:t>
      </w:r>
      <w:r>
        <w:rPr>
          <w:rFonts w:ascii="Times New Roman" w:hAnsi="Times New Roman" w:eastAsia="Times New Roman"/>
          <w:sz w:val="20"/>
        </w:rPr>
        <w:t xml:space="preserve"> </w:t>
      </w:r>
      <w:r>
        <w:rPr>
          <w:rFonts w:ascii="Times New Roman" w:hAnsi="Times New Roman" w:eastAsia="Times New Roman"/>
          <w:sz w:val="20"/>
        </w:rPr>
        <w:t xml:space="preserve">We incorporate Dynamic Visibility Regularization during training to stochastically mask Gaussian primitives, redistribute optimization gradients, and mitigate overfitting under limited-view supervision. Together with the geometry-enhanced initialization, this regularization contributes to more robust reconstruction when only a limited number of input views are available.</w:t>
      </w:r>
    </w:p>
    <w:bookmarkEnd w:id="32"/>
    <w:bookmarkStart w:id="33" w:name="_c402fc6a47ec8bb5e751ab4b29e0fc7601a51bb"/>
    <w:p>
      <w:pPr>
        <w:pStyle w:val="1"/>
      </w:pPr>
      <w:r>
        <w:rPr>
          <w:rFonts w:ascii="Times New Roman" w:hAnsi="Times New Roman" w:eastAsia="Times New Roman"/>
          <w:b/>
          <w:sz w:val="22"/>
        </w:rPr>
        <w:t xml:space="preserve">RELATED WORK</w:t>
      </w:r>
    </w:p>
    <w:p>
      <w:pPr>
        <w:pStyle w:val="SPIEbodytext"/>
        <w:jc w:val="both"/>
      </w:pPr>
      <w:r>
        <w:rPr>
          <w:rFonts w:ascii="Times New Roman" w:hAnsi="Times New Roman" w:eastAsia="Times New Roman"/>
          <w:sz w:val="20"/>
        </w:rPr>
        <w:t xml:space="preserve">In neural rendering, Neural Radiance Fields (NeRF) employ an implicit radiance field representation, allowing high-quality images of unseen viewpoints to be synthesized through differentiable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[13]</w:t>
      </w:r>
      <w:r>
        <w:rPr>
          <w:rFonts w:ascii="Times New Roman" w:hAnsi="Times New Roman" w:eastAsia="Times New Roman"/>
          <w:sz w:val="20"/>
        </w:rPr>
        <w:t xml:space="preserve">. Under sparse views, however, insufficient observations cause severe geometric ambiguity. Depth-guided approaches further improve structural consistency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[14]</w:t>
      </w:r>
      <w:r>
        <w:rPr>
          <w:rFonts w:ascii="Times New Roman" w:hAnsi="Times New Roman" w:eastAsia="Times New Roman"/>
          <w:sz w:val="20"/>
        </w:rPr>
        <w:t xml:space="preserve">, while other methods constrain unobserved regions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w:t>
      </w:r>
      <w:r>
        <w:rPr>
          <w:rFonts w:ascii="Times New Roman" w:hAnsi="Times New Roman" w:eastAsia="Times New Roman"/>
          <w:sz w:val="20"/>
        </w:rPr>
        <w:t xml:space="preserve">. In contrast to implicit radiance field representations, 3D Gaussian Splatting (3DGS) models scenes explicitly using optimizable Gaussian primitives, with differentiable rasterization supporting efficient training and real-time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Beyond the original formulation, structured Gaussian representations improve robustness and view-adaptive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w:t>
      </w:r>
      <w:r>
        <w:rPr>
          <w:rFonts w:ascii="Times New Roman" w:hAnsi="Times New Roman" w:eastAsia="Times New Roman"/>
          <w:sz w:val="20"/>
        </w:rPr>
        <w:t xml:space="preserve">. Depth-based approaches introduce additional geometric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[10]</w:t>
      </w:r>
      <w:r>
        <w:rPr>
          <w:rFonts w:ascii="Times New Roman" w:hAnsi="Times New Roman" w:eastAsia="Times New Roman"/>
          <w:sz w:val="20"/>
        </w:rPr>
        <w:t xml:space="preserve">, while densification-based methods improve Gaussian coverage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[11]</w:t>
      </w:r>
      <w:r>
        <w:rPr>
          <w:rFonts w:ascii="Times New Roman" w:hAnsi="Times New Roman" w:eastAsia="Times New Roman"/>
          <w:sz w:val="20"/>
        </w:rPr>
        <w:t xml:space="preserve">. Other strategies include epipolar depth priors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[15]</w:t>
      </w:r>
      <w:r>
        <w:rPr>
          <w:rFonts w:ascii="Times New Roman" w:hAnsi="Times New Roman" w:eastAsia="Times New Roman"/>
          <w:sz w:val="20"/>
        </w:rPr>
        <w:t xml:space="preserve">. Others explore co-regularization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[12]</w:t>
      </w:r>
      <w:r>
        <w:rPr>
          <w:rFonts w:ascii="Times New Roman" w:hAnsi="Times New Roman" w:eastAsia="Times New Roman"/>
          <w:sz w:val="20"/>
        </w:rPr>
        <w:t xml:space="preserve"> </w:t>
      </w:r>
      <w:r>
        <w:rPr>
          <w:rFonts w:ascii="Times New Roman" w:hAnsi="Times New Roman" w:eastAsia="Times New Roman"/>
          <w:sz w:val="20"/>
        </w:rPr>
        <w:t xml:space="preserve">and Gaussian dropout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Monocular depth estimators provide useful cues for underconstrained views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[16]</w:t>
      </w:r>
      <w:r>
        <w:rPr>
          <w:rFonts w:ascii="Times New Roman" w:hAnsi="Times New Roman" w:eastAsia="Times New Roman"/>
          <w:sz w:val="20"/>
        </w:rPr>
        <w:t xml:space="preserve">. 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[17]</w:t>
      </w:r>
      <w:r>
        <w:rPr>
          <w:rFonts w:ascii="Times New Roman" w:hAnsi="Times New Roman" w:eastAsia="Times New Roman"/>
          <w:sz w:val="20"/>
        </w:rPr>
        <w:t xml:space="preserve"> </w:t>
      </w:r>
      <w:r>
        <w:rPr>
          <w:rFonts w:ascii="Times New Roman" w:hAnsi="Times New Roman" w:eastAsia="Times New Roman"/>
          <w:sz w:val="20"/>
        </w:rPr>
        <w:t xml:space="preserve">to augment the initial Gaussian geometry before optimization, and incorporates Dynamic Visibility Regularization during training to alleviate sparse-view overfitting.</w:t>
      </w:r>
    </w:p>
    <w:bookmarkEnd w:id="33"/>
    <w:bookmarkStart w:id="44" w:name="_method"/>
    <w:p>
      <w:pPr>
        <w:pStyle w:val="1"/>
      </w:pPr>
      <w:r>
        <w:rPr>
          <w:rFonts w:ascii="Times New Roman" w:hAnsi="Times New Roman" w:eastAsia="Times New Roman"/>
          <w:b/>
          <w:sz w:val="22"/>
        </w:rPr>
        <w:t xml:space="preserve">METHOD</w:t>
      </w:r>
    </w:p>
    <w:bookmarkStart w:id="37" w:name="_c9c4aed55d8fffb9d98412859f7f6d1af8cfd6d"/>
    <w:p>
      <w:pPr>
        <w:pStyle w:val="2"/>
        <w:numPr>
          <w:ilvl w:val="1"/>
          <w:numId w:val="3"/>
        </w:numPr>
      </w:pPr>
      <w:r>
        <w:rPr>
          <w:rFonts w:ascii="Times New Roman" w:hAnsi="Times New Roman" w:eastAsia="Times New Roman"/>
          <w:b/>
          <w:sz w:val="20"/>
        </w:rPr>
        <w:t xml:space="preserve">Overall Framework</w:t>
      </w:r>
    </w:p>
    <w:p>
      <w:pPr>
        <w:pStyle w:val="SPIEbodytext"/>
        <w:jc w:val="both"/>
      </w:pPr>
      <w:r>
        <w:rPr>
          <w:rFonts w:ascii="Times New Roman" w:hAnsi="Times New Roman" w:eastAsia="Times New Roman"/>
          <w:sz w:val="20"/>
        </w:rPr>
        <w:t xml:space="preserve">SynGS is developed as a sparse-view 3D Gaussian Splatting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w:t>
      </w:r>
      <w:r>
        <w:rPr>
          <w:rFonts w:ascii="Times New Roman" w:hAnsi="Times New Roman" w:eastAsia="Times New Roman"/>
          <w:sz w:val="20"/>
        </w:rPr>
        <w:t xml:space="preserve">framework that combines explicit geometric initialization, depth-guided point cloud densification, and visibility-aware optimization. Figure 1 illustrates the overall pipeline, which takes sparsely captured images and their corresponding foreground masks as input. While recent variants organize Gaussians with structured scaffolds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w:t>
      </w:r>
      <w:r>
        <w:rPr>
          <w:rFonts w:ascii="Times New Roman" w:hAnsi="Times New Roman" w:eastAsia="Times New Roman"/>
          <w:sz w:val="20"/>
        </w:rPr>
        <w:t xml:space="preserve">, SynGS focuses on silhouette-based initialization and depth-guided densification under sparse posed inputs.</w:t>
      </w:r>
    </w:p>
    <w:p>
      <w:pPr>
        <w:pStyle w:val="SPIEbodytext"/>
        <w:jc w:val="both"/>
      </w:pPr>
      <w:r>
        <w:rPr>
          <w:rFonts w:ascii="Times New Roman" w:hAnsi="Times New Roman" w:eastAsia="Times New Roman"/>
          <w:sz w:val="20"/>
        </w:rPr>
        <w:t xml:space="preserve">First,</w:t>
      </w:r>
      <w:r>
        <w:rPr>
          <w:rFonts w:ascii="Times New Roman" w:hAnsi="Times New Roman" w:eastAsia="Times New Roman"/>
          <w:sz w:val="20"/>
        </w:rPr>
        <w:t xml:space="preserve"> </w:t>
      </w: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 </w:t>
      </w:r>
      <w:r>
        <w:rPr>
          <w:rFonts w:ascii="Times New Roman" w:hAnsi="Times New Roman" w:eastAsia="Times New Roman"/>
          <w:sz w:val="20"/>
        </w:rPr>
        <w:t xml:space="preserve">constructs a coarse geometric prior from multi-view silhouettes and generates an initial point cloud. Then,</w:t>
      </w:r>
      <w:r>
        <w:rPr>
          <w:rFonts w:ascii="Times New Roman" w:hAnsi="Times New Roman" w:eastAsia="Times New Roman"/>
          <w:sz w:val="20"/>
        </w:rPr>
        <w:t xml:space="preserve"> </w:t>
      </w: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w:t>
      </w:r>
      <w:r>
        <w:rPr>
          <w:rFonts w:ascii="Times New Roman" w:hAnsi="Times New Roman" w:eastAsia="Times New Roman"/>
          <w:sz w:val="20"/>
        </w:rPr>
        <w:t xml:space="preserve">exploits cross-view depth priors to supplement missing geometry and produce a depth-enhanced point cloud for Gaussian initialization. Finally,</w:t>
      </w:r>
      <w:r>
        <w:rPr>
          <w:rFonts w:ascii="Times New Roman" w:hAnsi="Times New Roman" w:eastAsia="Times New Roman"/>
          <w:sz w:val="20"/>
        </w:rPr>
        <w:t xml:space="preserve"> </w:t>
      </w:r>
      <w:r>
        <w:rPr>
          <w:rFonts w:ascii="Times New Roman" w:hAnsi="Times New Roman" w:eastAsia="Times New Roman"/>
          <w:b/>
          <w:bCs/>
          <w:sz w:val="20"/>
        </w:rPr>
        <w:t xml:space="preserve">Dynamic Visibility Regularization (DVR)</w:t>
      </w:r>
      <w:r>
        <w:rPr>
          <w:rFonts w:ascii="Times New Roman" w:hAnsi="Times New Roman" w:eastAsia="Times New Roman"/>
          <w:sz w:val="20"/>
        </w:rPr>
        <w:t xml:space="preserve"> </w:t>
      </w:r>
      <w:r>
        <w:rPr>
          <w:rFonts w:ascii="Times New Roman" w:hAnsi="Times New Roman" w:eastAsia="Times New Roman"/>
          <w:sz w:val="20"/>
        </w:rPr>
        <w:t xml:space="preserve">is applied during 3DGS optimization to rebalance supervision under sparse visibility and reduce overfitting. The complete process proceeds from the Visual Hull point cloud, through depth densification and Gaussian initialization, to DVR-regularized optimization.</w:t>
      </w:r>
    </w:p>
    <w:p>
      <w:pPr>
        <w:pStyle w:val="SPIEbodytext"/>
        <w:jc w:val="center"/>
      </w:pPr>
      <w:r>
        <w:rPr>
          <w:rFonts w:ascii="Times New Roman" w:hAnsi="Times New Roman" w:eastAsia="Times New Roman"/>
          <w:sz w:val="20"/>
        </w:rPr>
        <w:drawing>
          <wp:inline>
            <wp:extent cx="5940000" cy="3455076"/>
            <wp:effectExtent b="0" l="0" r="0" t="0"/>
            <wp:docPr descr="Figure 1. Overview of the SynGS pipeline. The third stage applies Dynamic Visibility Regularization (DVR)." title="" id="35" name="Picture"/>
            <a:graphic>
              <a:graphicData uri="http://schemas.openxmlformats.org/drawingml/2006/picture">
                <pic:pic>
                  <pic:nvPicPr>
                    <pic:cNvPr descr="/Users/zhihu/Desktop/CUC/EI会议/CVMP2026_3DGS/figures/word_export/framework.png" id="36" name="Picture"/>
                    <pic:cNvPicPr>
                      <a:picLocks noChangeArrowheads="1" noChangeAspect="1"/>
                    </pic:cNvPicPr>
                  </pic:nvPicPr>
                  <pic:blipFill>
                    <a:blip r:embed="rId34"/>
                    <a:stretch>
                      <a:fillRect/>
                    </a:stretch>
                  </pic:blipFill>
                  <pic:spPr bwMode="auto">
                    <a:xfrm>
                      <a:off x="0" y="0"/>
                      <a:ext cx="5940000" cy="345507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1. Overview of the SynGS pipeline. The third stage applies Dynamic Visibility Regularization (DVR).</w:t>
      </w:r>
    </w:p>
    <w:bookmarkEnd w:id="37"/>
    <w:bookmarkStart w:id="38" w:name="_daea87cd2d6f503dc19a78ce6b15a87a34daa80"/>
    <w:p>
      <w:pPr>
        <w:pStyle w:val="2"/>
        <w:numPr>
          <w:ilvl w:val="1"/>
          <w:numId w:val="3"/>
        </w:numPr>
      </w:pPr>
      <w:r>
        <w:rPr>
          <w:rFonts w:ascii="Times New Roman" w:hAnsi="Times New Roman" w:eastAsia="Times New Roman"/>
          <w:b/>
          <w:sz w:val="20"/>
        </w:rPr>
        <w:t xml:space="preserve">Visual Hull Initialization</w:t>
      </w:r>
    </w:p>
    <w:p>
      <w:pPr>
        <w:pStyle w:val="SPIEbodytext"/>
        <w:jc w:val="both"/>
      </w:pPr>
      <w:r>
        <w:rPr>
          <w:rFonts w:ascii="Times New Roman" w:hAnsi="Times New Roman" w:eastAsia="Times New Roman"/>
          <w:sz w:val="20"/>
        </w:rPr>
        <w:t xml:space="preserve">Under sparse views, Structure-from-Motion (SfM)</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[5]</w:t>
      </w:r>
      <w:r>
        <w:rPr>
          <w:rFonts w:ascii="Times New Roman" w:hAnsi="Times New Roman" w:eastAsia="Times New Roman"/>
          <w:sz w:val="20"/>
        </w:rPr>
        <w:t xml:space="preserve"> </w:t>
      </w:r>
      <w:r>
        <w:rPr>
          <w:rFonts w:ascii="Times New Roman" w:hAnsi="Times New Roman" w:eastAsia="Times New Roman"/>
          <w:sz w:val="20"/>
        </w:rPr>
        <w:t xml:space="preserve">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[18]</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8"/>
    <w:bookmarkStart w:id="42" w:name="_7750413c572b4ab541937d5392d89abad4a410e"/>
    <w:p>
      <w:pPr>
        <w:pStyle w:val="2"/>
        <w:numPr>
          <w:ilvl w:val="1"/>
          <w:numId w:val="3"/>
        </w:numPr>
      </w:pPr>
      <w:r>
        <w:rPr>
          <w:rFonts w:ascii="Times New Roman" w:hAnsi="Times New Roman" w:eastAsia="Times New Roman"/>
          <w:b/>
          <w:sz w:val="20"/>
        </w:rPr>
        <w:t xml:space="preserve">VGGT-Guided Densification</w:t>
      </w:r>
    </w:p>
    <w:p>
      <w:pPr>
        <w:pStyle w:val="SPIEbodytext"/>
        <w:jc w:val="both"/>
      </w:pPr>
      <w:r>
        <w:rPr>
          <w:rFonts w:ascii="Times New Roman" w:hAnsi="Times New Roman" w:eastAsia="Times New Roman"/>
          <w:sz w:val="20"/>
        </w:rPr>
        <w:t xml:space="preserve">Silhouettes alone miss concave regions and fine structures. We densify the Visual Hull point cloud with</w:t>
      </w:r>
      <w:r>
        <w:rPr>
          <w:rFonts w:ascii="Times New Roman" w:hAnsi="Times New Roman" w:eastAsia="Times New Roman"/>
          <w:sz w:val="20"/>
        </w:rPr>
        <w:t xml:space="preserve"> </w:t>
      </w:r>
      <w:r>
        <w:rPr>
          <w:rFonts w:ascii="Times New Roman" w:hAnsi="Times New Roman" w:eastAsia="Times New Roman"/>
          <w:b/>
          <w:bCs/>
          <w:sz w:val="20"/>
        </w:rPr>
        <w:t xml:space="preserve">VGGT-Depth</w:t>
      </w:r>
      <w:r>
        <w:rPr>
          <w:rFonts w:ascii="Times New Roman" w:hAnsi="Times New Roman" w:eastAsia="Times New Roman"/>
          <w:sz w:val="20"/>
        </w:rPr>
        <w:t xml:space="preserve">: from a pre-trained VGGT backbone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[17]</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[16]</w:t>
      </w:r>
      <w:r>
        <w:rPr>
          <w:rFonts w:ascii="Times New Roman" w:hAnsi="Times New Roman" w:eastAsia="Times New Roman"/>
          <w:sz w:val="20"/>
        </w:rPr>
        <w:t xml:space="preserve">, the adaptation branch is conditioned on multi-view tokens (Figure 2).</w:t>
      </w:r>
    </w:p>
    <w:p>
      <w:pPr>
        <w:pStyle w:val="SPIEbodytext"/>
        <w:jc w:val="center"/>
      </w:pPr>
      <w:r>
        <w:rPr>
          <w:rFonts w:ascii="Times New Roman" w:hAnsi="Times New Roman" w:eastAsia="Times New Roman"/>
          <w:sz w:val="20"/>
        </w:rPr>
        <w:drawing>
          <wp:inline>
            <wp:extent cx="5940000" cy="3503846"/>
            <wp:effectExtent b="0" l="0" r="0" t="0"/>
            <wp:docPr descr="Figure 2. VGGT-Depth prior used for depth-guided point cloud densification." title="" id="40" name="Picture"/>
            <a:graphic>
              <a:graphicData uri="http://schemas.openxmlformats.org/drawingml/2006/picture">
                <pic:pic>
                  <pic:nvPicPr>
                    <pic:cNvPr descr="/Users/zhihu/Desktop/CUC/EI会议/CVMP2026_3DGS/figures/word_export/vggt_depth.png" id="41" name="Picture"/>
                    <pic:cNvPicPr>
                      <a:picLocks noChangeArrowheads="1" noChangeAspect="1"/>
                    </pic:cNvPicPr>
                  </pic:nvPicPr>
                  <pic:blipFill>
                    <a:blip r:embed="rId39"/>
                    <a:stretch>
                      <a:fillRect/>
                    </a:stretch>
                  </pic:blipFill>
                  <pic:spPr bwMode="auto">
                    <a:xfrm>
                      <a:off x="0" y="0"/>
                      <a:ext cx="5940000" cy="350384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2. VGGT-Depth prior used for depth-guided point cloud densification.</w:t>
      </w:r>
    </w:p>
    <w:p>
      <w:pPr>
        <w:pStyle w:val="SPIEbodytext"/>
        <w:jc w:val="both"/>
      </w:pPr>
      <w:r>
        <w:rPr>
          <w:rFonts w:ascii="Times New Roman" w:hAnsi="Times New Roman" w:eastAsia="Times New Roman"/>
          <w:sz w:val="20"/>
        </w:rPr>
        <w:t xml:space="preserve">We use the Visual Hull AABB diagonal</w:t>
      </w:r>
      <w:r>
        <w:rPr>
          <w:rFonts w:ascii="Times New Roman" w:hAnsi="Times New Roman" w:eastAsia="Times New Roman"/>
          <w:sz w:val="20"/>
        </w:rPr>
        <w:t xml:space="preserve"> </w:t>
      </w:r>
      <m:oMath>
        <m:r>
          <m:t>L</m:t>
        </m:r>
      </m:oMath>
      <w:r>
        <w:rPr>
          <w:rFonts w:ascii="Times New Roman" w:hAnsi="Times New Roman" w:eastAsia="Times New Roman"/>
          <w:sz w:val="20"/>
        </w:rPr>
        <w:t xml:space="preserve"> </w:t>
      </w:r>
      <w:r>
        <w:rPr>
          <w:rFonts w:ascii="Times New Roman" w:hAnsi="Times New Roman" w:eastAsia="Times New Roman"/>
          <w:sz w:val="20"/>
        </w:rPr>
        <w:t xml:space="preserve">as the scene-scale reference. For each view, masked depth MAE against dataset ground-truth depth is used only to filter views and rays during densification (not at inference or when computing metrics); it is normalized by the 95th percentile over validation views to obtain</w:t>
      </w:r>
      <w:r>
        <w:rPr>
          <w:rFonts w:ascii="Times New Roman" w:hAnsi="Times New Roman" w:eastAsia="Times New Roman"/>
          <w:sz w:val="20"/>
        </w:rPr>
        <w:t xml:space="preserve"> </w:t>
      </w:r>
      <m:oMath>
        <m:sSub>
          <m:e>
            <m:r>
              <m:t>q</m:t>
            </m:r>
          </m:e>
          <m:sub>
            <m:r>
              <m:t>v</m:t>
            </m:r>
          </m:sub>
        </m:sSub>
      </m:oMath>
      <w:r>
        <w:rPr>
          <w:rFonts w:ascii="Times New Roman" w:hAnsi="Times New Roman" w:eastAsia="Times New Roman"/>
          <w:sz w:val="20"/>
        </w:rPr>
        <w:t xml:space="preserve">. Views with</w:t>
      </w:r>
      <w:r>
        <w:rPr>
          <w:rFonts w:ascii="Times New Roman" w:hAnsi="Times New Roman" w:eastAsia="Times New Roman"/>
          <w:sz w:val="20"/>
        </w:rPr>
        <w:t xml:space="preserve"> </w:t>
      </w:r>
      <m:oMath>
        <m:sSub>
          <m:e>
            <m:r>
              <m:t>q</m:t>
            </m:r>
          </m:e>
          <m:sub>
            <m:r>
              <m:t>v</m:t>
            </m:r>
          </m:sub>
        </m:sSub>
        <m:r>
          <m:rPr>
            <m:sty m:val="p"/>
          </m:rPr>
          <m:t>&lt;</m:t>
        </m:r>
        <m:r>
          <m:t>0.4</m:t>
        </m:r>
      </m:oMath>
      <w:r>
        <w:rPr>
          <w:rFonts w:ascii="Times New Roman" w:hAnsi="Times New Roman" w:eastAsia="Times New Roman"/>
          <w:sz w:val="20"/>
        </w:rPr>
        <w:t xml:space="preserve"> </w:t>
      </w:r>
      <w:r>
        <w:rPr>
          <w:rFonts w:ascii="Times New Roman" w:hAnsi="Times New Roman" w:eastAsia="Times New Roman"/>
          <w:sz w:val="20"/>
        </w:rPr>
        <w:t xml:space="preserve">are discarded. If fewer than</w:t>
      </w:r>
      <w:r>
        <w:rPr>
          <w:rFonts w:ascii="Times New Roman" w:hAnsi="Times New Roman" w:eastAsia="Times New Roman"/>
          <w:sz w:val="20"/>
        </w:rPr>
        <w:t xml:space="preserve"> </w:t>
      </w:r>
      <m:oMath>
        <m:r>
          <m:t>0.8</m:t>
        </m:r>
        <m:r>
          <m:t>N</m:t>
        </m:r>
      </m:oMath>
      <w:r>
        <w:rPr>
          <w:rFonts w:ascii="Times New Roman" w:hAnsi="Times New Roman" w:eastAsia="Times New Roman"/>
          <w:sz w:val="20"/>
        </w:rPr>
        <w:t xml:space="preserve"> </w:t>
      </w:r>
      <w:r>
        <w:rPr>
          <w:rFonts w:ascii="Times New Roman" w:hAnsi="Times New Roman" w:eastAsia="Times New Roman"/>
          <w:sz w:val="20"/>
        </w:rPr>
        <w:t xml:space="preserve">views remain, densification is skipped and the Visual Hull point cloud is retained. Remaining views keep regions that pass VGGT-Depth confidence and depth consistency. With tolerance</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r>
                <m:rPr>
                  <m:sty m:val="p"/>
                </m:rPr>
                <m:t>Δ</m:t>
              </m:r>
              <m:r>
                <m:rPr>
                  <m:sty m:val="p"/>
                </m:rPr>
                <m:t>(</m:t>
              </m:r>
              <m:r>
                <m:t>d</m:t>
              </m:r>
              <m:r>
                <m:rPr>
                  <m:sty m:val="p"/>
                </m:rPr>
                <m:t>)</m:t>
              </m:r>
              <m:r>
                <m:rPr>
                  <m:sty m:val="p"/>
                </m:rPr>
                <m:t>=</m:t>
              </m:r>
              <m:r>
                <m:t>α</m:t>
              </m:r>
              <m:r>
                <m:t>d</m:t>
              </m:r>
              <m:r>
                <m:rPr>
                  <m:sty m:val="p"/>
                </m:rPr>
                <m:t>+</m:t>
              </m:r>
              <m:r>
                <m:t>β</m:t>
              </m:r>
              <m:r>
                <m:rPr>
                  <m:sty m:val="p"/>
                </m:rPr>
                <m:t>,</m:t>
              </m:r>
              <m:r>
                <m:t>  </m:t>
              </m:r>
              <m:r>
                <m:t>α</m:t>
              </m:r>
              <m:r>
                <m:rPr>
                  <m:sty m:val="p"/>
                </m:rPr>
                <m:t>=</m:t>
              </m:r>
              <m:r>
                <m:t>0.01</m:t>
              </m:r>
              <m:r>
                <m:rPr>
                  <m:sty m:val="p"/>
                </m:rPr>
                <m:t>,</m:t>
              </m:r>
              <m:r>
                <m:t> </m:t>
              </m:r>
              <m:r>
                <m:t>β</m:t>
              </m:r>
              <m:r>
                <m:rPr>
                  <m:sty m:val="p"/>
                </m:rPr>
                <m:t>=</m:t>
              </m:r>
              <m:r>
                <m:t>0.002</m:t>
              </m:r>
              <m:r>
                <m:t>L</m:t>
              </m:r>
              <m:r>
                <m:rPr>
                  <m:sty m:val="p"/>
                </m:rPr>
                <m:t>,</m:t>
              </m:r>
            </m:oMath>
          </w:p>
        </w:tc>
        <w:tc>
          <w:tcPr>
            <w:tcW w:w="850" w:type="dxa"/>
            <w:vAlign w:val="center"/>
          </w:tcPr>
          <w:p>
            <w:pPr>
              <w:pStyle w:val="SPIEbodytext"/>
              <w:jc w:val="right"/>
            </w:pPr>
            <w:r>
              <w:rPr>
                <w:rFonts w:ascii="Times New Roman" w:hAnsi="Times New Roman" w:eastAsia="Times New Roman"/>
                <w:sz w:val="20"/>
              </w:rPr>
              <w:t>(1)</w:t>
            </w:r>
          </w:p>
        </w:tc>
      </w:tr>
    </w:tbl>
    <w:p>
      <w:pPr>
        <w:pStyle w:val="SPIEbodytext"/>
        <w:jc w:val="both"/>
      </w:pPr>
      <w:r>
        <w:rPr>
          <w:rFonts w:ascii="Times New Roman" w:hAnsi="Times New Roman" w:eastAsia="Times New Roman"/>
          <w:sz w:val="20"/>
        </w:rPr>
        <w:t xml:space="preserve">we reject low-confidence or inconsistent observations before back-projection.</w:t>
      </w:r>
    </w:p>
    <w:p>
      <w:pPr>
        <w:pStyle w:val="SPIEbodytext"/>
        <w:jc w:val="both"/>
      </w:pPr>
      <w:r>
        <w:rPr>
          <w:rFonts w:ascii="Times New Roman" w:hAnsi="Times New Roman" w:eastAsia="Times New Roman"/>
          <w:sz w:val="20"/>
        </w:rPr>
        <w:t xml:space="preserve">Point supplementation runs only along reliable rays. For each point, the top</w:t>
      </w:r>
      <w:r>
        <w:rPr>
          <w:rFonts w:ascii="Times New Roman" w:hAnsi="Times New Roman" w:eastAsia="Times New Roman"/>
          <w:sz w:val="20"/>
        </w:rPr>
        <w:t xml:space="preserve"> </w:t>
      </w:r>
      <m:oMath>
        <m:r>
          <m:t>K</m:t>
        </m:r>
        <m:r>
          <m:rPr>
            <m:sty m:val="p"/>
          </m:rPr>
          <m:t>=</m:t>
        </m:r>
        <m:r>
          <m:t>3</m:t>
        </m:r>
      </m:oMath>
      <w:r>
        <w:rPr>
          <w:rFonts w:ascii="Times New Roman" w:hAnsi="Times New Roman" w:eastAsia="Times New Roman"/>
          <w:sz w:val="20"/>
        </w:rPr>
        <w:t xml:space="preserve"> </w:t>
      </w:r>
      <w:r>
        <w:rPr>
          <w:rFonts w:ascii="Times New Roman" w:hAnsi="Times New Roman" w:eastAsia="Times New Roman"/>
          <w:sz w:val="20"/>
        </w:rPr>
        <w:t xml:space="preserve">reliable views are selected; candidates are sampled around the predicted depth and back-projected. Here supplementation is applied offline to the Visual Hull point cloud before training. Complementary work injects epipolar depth priors into sparse-view Gaussian reconstruction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[15]</w:t>
      </w:r>
      <w:r>
        <w:rPr>
          <w:rFonts w:ascii="Times New Roman" w:hAnsi="Times New Roman" w:eastAsia="Times New Roman"/>
          <w:sz w:val="20"/>
        </w:rPr>
        <w:t xml:space="preserve">; we instead use adapted VGGT-Depth predictions for back-projection. Supplementary points are merged via two-stage voxel fusion and deduplication (</w:t>
      </w:r>
      <m:oMath>
        <m:r>
          <m:t>0.01</m:t>
        </m:r>
        <m:r>
          <m:t>L</m:t>
        </m:r>
      </m:oMath>
      <w:r>
        <w:rPr>
          <w:rFonts w:ascii="Times New Roman" w:hAnsi="Times New Roman" w:eastAsia="Times New Roman"/>
          <w:sz w:val="20"/>
        </w:rPr>
        <w:t xml:space="preserve"> </w:t>
      </w:r>
      <w:r>
        <w:rPr>
          <w:rFonts w:ascii="Times New Roman" w:hAnsi="Times New Roman" w:eastAsia="Times New Roman"/>
          <w:sz w:val="20"/>
        </w:rPr>
        <w:t xml:space="preserve">then</w:t>
      </w:r>
      <w:r>
        <w:rPr>
          <w:rFonts w:ascii="Times New Roman" w:hAnsi="Times New Roman" w:eastAsia="Times New Roman"/>
          <w:sz w:val="20"/>
        </w:rPr>
        <w:t xml:space="preserve"> </w:t>
      </w:r>
      <m:oMath>
        <m:r>
          <m:t>0.004</m:t>
        </m:r>
        <m:r>
          <m:t>L</m:t>
        </m:r>
      </m:oMath>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The densified points are used to initialize Gaussian centers, with the scale of each Gaussian determined by the average distance to its</w:t>
      </w:r>
      <w:r>
        <w:rPr>
          <w:rFonts w:ascii="Times New Roman" w:hAnsi="Times New Roman" w:eastAsia="Times New Roman"/>
          <w:sz w:val="20"/>
        </w:rPr>
        <w:t xml:space="preserve"> </w:t>
      </w:r>
      <m:oMath>
        <m:r>
          <m:t>k</m:t>
        </m:r>
        <m:r>
          <m:rPr>
            <m:sty m:val="p"/>
          </m:rPr>
          <m:t>=</m:t>
        </m:r>
        <m:r>
          <m:t>8</m:t>
        </m:r>
      </m:oMath>
      <w:r>
        <w:rPr>
          <w:rFonts w:ascii="Times New Roman" w:hAnsi="Times New Roman" w:eastAsia="Times New Roman"/>
          <w:sz w:val="20"/>
        </w:rPr>
        <w:t xml:space="preserve"> </w:t>
      </w:r>
      <w:r>
        <w:rPr>
          <w:rFonts w:ascii="Times New Roman" w:hAnsi="Times New Roman" w:eastAsia="Times New Roman"/>
          <w:sz w:val="20"/>
        </w:rPr>
        <w:t xml:space="preserve">nearest neighbors. Color information from multiple views is combined using weights derived from depth consistency and VGGT confidence. Opacity is set from cross-view consistency and clipped to</w:t>
      </w:r>
      <w:r>
        <w:rPr>
          <w:rFonts w:ascii="Times New Roman" w:hAnsi="Times New Roman" w:eastAsia="Times New Roman"/>
          <w:sz w:val="20"/>
        </w:rPr>
        <w:t xml:space="preserve"> </w:t>
      </w:r>
      <m:oMath>
        <m:r>
          <m:rPr>
            <m:sty m:val="p"/>
          </m:rPr>
          <m:t>[</m:t>
        </m:r>
        <m:r>
          <m:t>0.2</m:t>
        </m:r>
        <m:r>
          <m:rPr>
            <m:sty m:val="p"/>
          </m:rPr>
          <m:t>,</m:t>
        </m:r>
        <m:r>
          <m:t>0.8</m:t>
        </m:r>
        <m:r>
          <m:rPr>
            <m:sty m:val="p"/>
          </m:rPr>
          <m:t>]</m:t>
        </m:r>
      </m:oMath>
      <w:r>
        <w:rPr>
          <w:rFonts w:ascii="Times New Roman" w:hAnsi="Times New Roman" w:eastAsia="Times New Roman"/>
          <w:sz w:val="20"/>
        </w:rPr>
        <w:t xml:space="preserve">. Uneven supervision remains under sparse views; we address this with DVR (Sec. 3.4).</w:t>
      </w:r>
    </w:p>
    <w:bookmarkEnd w:id="42"/>
    <w:bookmarkStart w:id="43" w:name="_de6782f8b3194658926827b1faaaf566c81efa4"/>
    <w:p>
      <w:pPr>
        <w:pStyle w:val="2"/>
        <w:numPr>
          <w:ilvl w:val="1"/>
          <w:numId w:val="3"/>
        </w:numPr>
      </w:pPr>
      <w:r>
        <w:rPr>
          <w:rFonts w:ascii="Times New Roman" w:hAnsi="Times New Roman" w:eastAsia="Times New Roman"/>
          <w:b/>
          <w:sz w:val="20"/>
        </w:rPr>
        <w:t xml:space="preserve">Dynamic Visibility Regularization</w:t>
      </w:r>
    </w:p>
    <w:p>
      <w:pPr>
        <w:pStyle w:val="SPIEbodytext"/>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[7,8]</w:t>
      </w:r>
      <w:r>
        <w:rPr>
          <w:rFonts w:ascii="Times New Roman" w:hAnsi="Times New Roman" w:eastAsia="Times New Roman"/>
          <w:sz w:val="20"/>
        </w:rPr>
        <w:t xml:space="preserve">. Visibility priors have also been explored to regularize sparse-input radiance fields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 We use DVR via progressive Gaussian dropout.</w:t>
      </w:r>
    </w:p>
    <w:p>
      <w:pPr>
        <w:pStyle w:val="SPIEbodytext"/>
        <w:jc w:val="both"/>
      </w:pPr>
      <w:r>
        <w:rPr>
          <w:rFonts w:ascii="Times New Roman" w:hAnsi="Times New Roman" w:eastAsia="Times New Roman"/>
          <w:sz w:val="20"/>
        </w:rPr>
        <w:t xml:space="preserve">At iteration</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DVR randomly masks a subset of Gaussians for dropout rendering. The dropout ratio grows linearly:</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sSub>
                <m:e>
                  <m:r>
                    <m:t>r</m:t>
                  </m:r>
                </m:e>
                <m:sub>
                  <m:r>
                    <m:t>t</m:t>
                  </m:r>
                </m:sub>
              </m:sSub>
              <m:r>
                <m:rPr>
                  <m:sty m:val="p"/>
                </m:rPr>
                <m:t>=</m:t>
              </m:r>
              <m:r>
                <m:rPr>
                  <m:sty m:val="p"/>
                </m:rPr>
                <m:t>min</m:t>
              </m:r>
              <m:d>
                <m:dPr>
                  <m:begChr m:val="("/>
                  <m:sepChr m:val=""/>
                  <m:endChr m:val=")"/>
                  <m:grow/>
                </m:dPr>
                <m:e>
                  <m:sSub>
                    <m:e>
                      <m:r>
                        <m:t>r</m:t>
                      </m:r>
                    </m:e>
                    <m:sub>
                      <m:r>
                        <m:rPr>
                          <m:sty m:val="p"/>
                        </m:rPr>
                        <m:t>max</m:t>
                      </m:r>
                    </m:sub>
                  </m:sSub>
                  <m:r>
                    <m:rPr>
                      <m:sty m:val="p"/>
                    </m:rPr>
                    <m:t>,</m:t>
                  </m:r>
                  <m:r>
                    <m:t> </m:t>
                  </m:r>
                  <m:r>
                    <m:t>γ</m:t>
                  </m:r>
                  <m:f>
                    <m:fPr>
                      <m:type m:val="bar"/>
                    </m:fPr>
                    <m:num>
                      <m:r>
                        <m:t>t</m:t>
                      </m:r>
                    </m:num>
                    <m:den>
                      <m:r>
                        <m:t>T</m:t>
                      </m:r>
                    </m:den>
                  </m:f>
                </m:e>
              </m:d>
              <m:r>
                <m:rPr>
                  <m:sty m:val="p"/>
                </m:rPr>
                <m:t>,</m:t>
              </m:r>
            </m:oMath>
          </w:p>
        </w:tc>
        <w:tc>
          <w:tcPr>
            <w:tcW w:w="850" w:type="dxa"/>
            <w:vAlign w:val="center"/>
          </w:tcPr>
          <w:p>
            <w:pPr>
              <w:pStyle w:val="SPIEbodytext"/>
              <w:jc w:val="right"/>
            </w:pPr>
            <w:r>
              <w:rPr>
                <w:rFonts w:ascii="Times New Roman" w:hAnsi="Times New Roman" w:eastAsia="Times New Roman"/>
                <w:sz w:val="20"/>
              </w:rPr>
              <w:t>(2)</w:t>
            </w:r>
          </w:p>
        </w:tc>
      </w:tr>
    </w:tbl>
    <w:p>
      <w:pPr>
        <w:pStyle w:val="SPIEbodytext"/>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w:t>
      </w:r>
      <w:r>
        <w:rPr>
          <w:rFonts w:ascii="Times New Roman" w:hAnsi="Times New Roman" w:eastAsia="Times New Roman"/>
          <w:sz w:val="20"/>
        </w:rPr>
        <w:t xml:space="preserve">are the current and total iterations,</w:t>
      </w:r>
      <w:r>
        <w:rPr>
          <w:rFonts w:ascii="Times New Roman" w:hAnsi="Times New Roman" w:eastAsia="Times New Roman"/>
          <w:sz w:val="20"/>
        </w:rPr>
        <w:t xml:space="preserve"> </w:t>
      </w:r>
      <m:oMath>
        <m:sSub>
          <m:e>
            <m:r>
              <m:t>r</m:t>
            </m:r>
          </m:e>
          <m:sub>
            <m:r>
              <m:rPr>
                <m:sty m:val="p"/>
              </m:rPr>
              <m:t>max</m:t>
            </m:r>
          </m:sub>
        </m:sSub>
      </m:oMath>
      <w:r>
        <w:rPr>
          <w:rFonts w:ascii="Times New Roman" w:hAnsi="Times New Roman" w:eastAsia="Times New Roman"/>
          <w:sz w:val="20"/>
        </w:rPr>
        <w:t xml:space="preserve"> </w:t>
      </w:r>
      <w:r>
        <w:rPr>
          <w:rFonts w:ascii="Times New Roman" w:hAnsi="Times New Roman" w:eastAsia="Times New Roman"/>
          <w:sz w:val="20"/>
        </w:rPr>
        <w:t xml:space="preserve">is the maximum dropout ratio, and</w:t>
      </w:r>
      <w:r>
        <w:rPr>
          <w:rFonts w:ascii="Times New Roman" w:hAnsi="Times New Roman" w:eastAsia="Times New Roman"/>
          <w:sz w:val="20"/>
        </w:rPr>
        <w:t xml:space="preserve"> </w:t>
      </w:r>
      <m:oMath>
        <m:r>
          <m:t>γ</m:t>
        </m:r>
        <m:r>
          <m:rPr>
            <m:sty m:val="p"/>
          </m:rPr>
          <m:t>=</m:t>
        </m:r>
        <m:r>
          <m:t>0.1</m:t>
        </m:r>
      </m:oMath>
      <w:r>
        <w:rPr>
          <w:rFonts w:ascii="Times New Roman" w:hAnsi="Times New Roman" w:eastAsia="Times New Roman"/>
          <w:sz w:val="20"/>
        </w:rPr>
        <w:t xml:space="preserve">–</w:t>
      </w:r>
      <m:oMath>
        <m:r>
          <m:t>0.2</m:t>
        </m:r>
      </m:oMath>
      <w:r>
        <w:rPr>
          <w:rFonts w:ascii="Times New Roman" w:hAnsi="Times New Roman" w:eastAsia="Times New Roman"/>
          <w:sz w:val="20"/>
        </w:rPr>
        <w:t xml:space="preserve"> </w:t>
      </w:r>
      <w:r>
        <w:rPr>
          <w:rFonts w:ascii="Times New Roman" w:hAnsi="Times New Roman" w:eastAsia="Times New Roman"/>
          <w:sz w:val="20"/>
        </w:rPr>
        <w:t xml:space="preserve">controls the growth rate. Early training keeps weak dropout for geometric convergence; later training increases it against sparse-view overfitting.</w:t>
      </w:r>
    </w:p>
    <w:p>
      <w:pPr>
        <w:pStyle w:val="SPIEbodytext"/>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w:t>
      </w:r>
      <w:r>
        <w:rPr>
          <w:rFonts w:ascii="Times New Roman" w:hAnsi="Times New Roman" w:eastAsia="Times New Roman"/>
          <w:sz w:val="20"/>
        </w:rPr>
        <w:t xml:space="preserve">, the dropout branch is left uncompensated, while the full set is rendered in parallel under the same target. We denote the images rendered using the complete Gaussian set and the dropout-masked Gaussian set by</w:t>
      </w:r>
      <w:r>
        <w:rPr>
          <w:rFonts w:ascii="Times New Roman" w:hAnsi="Times New Roman" w:eastAsia="Times New Roman"/>
          <w:sz w:val="20"/>
        </w:rPr>
        <w:t xml:space="preserve"> </w:t>
      </w:r>
      <m:oMath>
        <m:sSub>
          <m:e>
            <m:r>
              <m:t>I</m:t>
            </m:r>
          </m:e>
          <m:sub>
            <m:r>
              <m:rPr>
                <m:sty m:val="p"/>
              </m:rPr>
              <m:t>f</m:t>
            </m:r>
            <m:r>
              <m:rPr>
                <m:sty m:val="p"/>
              </m:rPr>
              <m:t>u</m:t>
            </m:r>
            <m:r>
              <m:rPr>
                <m:sty m:val="p"/>
              </m:rPr>
              <m:t>l</m:t>
            </m:r>
            <m:r>
              <m:rPr>
                <m:sty m:val="p"/>
              </m:rPr>
              <m:t>l</m:t>
            </m:r>
          </m:sub>
        </m:sSub>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sSub>
          <m:e>
            <m:r>
              <m:t>I</m:t>
            </m:r>
          </m:e>
          <m:sub>
            <m:r>
              <m:rPr>
                <m:sty m:val="p"/>
              </m:rPr>
              <m:t>d</m:t>
            </m:r>
            <m:r>
              <m:rPr>
                <m:sty m:val="p"/>
              </m:rPr>
              <m:t>r</m:t>
            </m:r>
            <m:r>
              <m:rPr>
                <m:sty m:val="p"/>
              </m:rPr>
              <m:t>o</m:t>
            </m:r>
            <m:r>
              <m:rPr>
                <m:sty m:val="p"/>
              </m:rPr>
              <m:t>p</m:t>
            </m:r>
          </m:sub>
        </m:sSub>
      </m:oMath>
      <w:r>
        <w:rPr>
          <w:rFonts w:ascii="Times New Roman" w:hAnsi="Times New Roman" w:eastAsia="Times New Roman"/>
          <w:sz w:val="20"/>
        </w:rPr>
        <w:t xml:space="preserve">, respectively, while</w:t>
      </w:r>
      <w:r>
        <w:rPr>
          <w:rFonts w:ascii="Times New Roman" w:hAnsi="Times New Roman" w:eastAsia="Times New Roman"/>
          <w:sz w:val="20"/>
        </w:rPr>
        <w:t xml:space="preserve"> </w:t>
      </w:r>
      <m:oMath>
        <m:r>
          <m:t>I</m:t>
        </m:r>
      </m:oMath>
      <w:r>
        <w:rPr>
          <w:rFonts w:ascii="Times New Roman" w:hAnsi="Times New Roman" w:eastAsia="Times New Roman"/>
          <w:sz w:val="20"/>
        </w:rPr>
        <w:t xml:space="preserve"> </w:t>
      </w:r>
      <w:r>
        <w:rPr>
          <w:rFonts w:ascii="Times New Roman" w:hAnsi="Times New Roman" w:eastAsia="Times New Roman"/>
          <w:sz w:val="20"/>
        </w:rPr>
        <w:t xml:space="preserve">represents the ground-truth image. The standard color loss is formulated as follows:</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sSub>
                <m:e>
                  <m:r>
                    <m:rPr>
                      <m:scr m:val="script"/>
                      <m:sty m:val="p"/>
                    </m:rPr>
                    <m:t>L</m:t>
                  </m:r>
                </m:e>
                <m:sub>
                  <m:r>
                    <m:rPr>
                      <m:sty m:val="p"/>
                    </m:rPr>
                    <m:t>c</m:t>
                  </m:r>
                  <m:r>
                    <m:rPr>
                      <m:sty m:val="p"/>
                    </m:rPr>
                    <m:t>o</m:t>
                  </m:r>
                  <m:r>
                    <m:rPr>
                      <m:sty m:val="p"/>
                    </m:rPr>
                    <m:t>l</m:t>
                  </m:r>
                  <m:r>
                    <m:rPr>
                      <m:sty m:val="p"/>
                    </m:rPr>
                    <m:t>o</m:t>
                  </m:r>
                  <m:r>
                    <m:rPr>
                      <m:sty m:val="p"/>
                    </m:rPr>
                    <m:t>r</m:t>
                  </m:r>
                </m:sub>
              </m:sSub>
              <m:r>
                <m:rPr>
                  <m:sty m:val="p"/>
                </m:rPr>
                <m:t>(</m:t>
              </m:r>
              <m:acc>
                <m:accPr>
                  <m:chr m:val="̂"/>
                </m:accPr>
                <m:e>
                  <m:r>
                    <m:t>I</m:t>
                  </m:r>
                </m:e>
              </m:acc>
              <m:r>
                <m:rPr>
                  <m:sty m:val="p"/>
                </m:rPr>
                <m:t>,</m:t>
              </m:r>
              <m:r>
                <m:t>I</m:t>
              </m:r>
              <m:r>
                <m:rPr>
                  <m:sty m:val="p"/>
                </m:rPr>
                <m:t>)</m:t>
              </m:r>
              <m:r>
                <m:rPr>
                  <m:sty m:val="p"/>
                </m:rPr>
                <m:t>=</m:t>
              </m:r>
              <m:r>
                <m:rPr>
                  <m:sty m:val="p"/>
                </m:rPr>
                <m:t>(</m:t>
              </m:r>
              <m:r>
                <m:t>1</m:t>
              </m:r>
              <m:r>
                <m:rPr>
                  <m:sty m:val="p"/>
                </m:rPr>
                <m:t>−</m:t>
              </m:r>
              <m:r>
                <m:t>λ</m:t>
              </m:r>
              <m:r>
                <m:rPr>
                  <m:sty m:val="p"/>
                </m:rPr>
                <m:t>)</m:t>
              </m:r>
              <m:r>
                <m:t> </m:t>
              </m:r>
              <m:sSub>
                <m:e>
                  <m:r>
                    <m:rPr>
                      <m:scr m:val="script"/>
                      <m:sty m:val="p"/>
                    </m:rPr>
                    <m:t>L</m:t>
                  </m:r>
                </m:e>
                <m:sub>
                  <m:r>
                    <m:t>1</m:t>
                  </m:r>
                </m:sub>
              </m:sSub>
              <m:r>
                <m:rPr>
                  <m:sty m:val="p"/>
                </m:rPr>
                <m:t>(</m:t>
              </m:r>
              <m:acc>
                <m:accPr>
                  <m:chr m:val="̂"/>
                </m:accPr>
                <m:e>
                  <m:r>
                    <m:t>I</m:t>
                  </m:r>
                </m:e>
              </m:acc>
              <m:r>
                <m:rPr>
                  <m:sty m:val="p"/>
                </m:rPr>
                <m:t>,</m:t>
              </m:r>
              <m:r>
                <m:t>I</m:t>
              </m:r>
              <m:r>
                <m:rPr>
                  <m:sty m:val="p"/>
                </m:rPr>
                <m:t>)</m:t>
              </m:r>
              <m:r>
                <m:rPr>
                  <m:sty m:val="p"/>
                </m:rPr>
                <m:t>+</m:t>
              </m:r>
              <m:r>
                <m:t>λ</m:t>
              </m:r>
              <m:r>
                <m:t> </m:t>
              </m:r>
              <m:sSub>
                <m:e>
                  <m:r>
                    <m:rPr>
                      <m:scr m:val="script"/>
                      <m:sty m:val="p"/>
                    </m:rPr>
                    <m:t>L</m:t>
                  </m:r>
                </m:e>
                <m:sub>
                  <m:r>
                    <m:rPr>
                      <m:sty m:val="p"/>
                    </m:rPr>
                    <m:t>D</m:t>
                  </m:r>
                  <m:r>
                    <m:rPr>
                      <m:nor/>
                      <m:sty m:val="p"/>
                    </m:rPr>
                    <m:t>-</m:t>
                  </m:r>
                  <m:r>
                    <m:rPr>
                      <m:sty m:val="p"/>
                    </m:rPr>
                    <m:t>S</m:t>
                  </m:r>
                  <m:r>
                    <m:rPr>
                      <m:sty m:val="p"/>
                    </m:rPr>
                    <m:t>S</m:t>
                  </m:r>
                  <m:r>
                    <m:rPr>
                      <m:sty m:val="p"/>
                    </m:rPr>
                    <m:t>I</m:t>
                  </m:r>
                  <m:r>
                    <m:rPr>
                      <m:sty m:val="p"/>
                    </m:rPr>
                    <m:t>M</m:t>
                  </m:r>
                </m:sub>
              </m:sSub>
              <m:r>
                <m:rPr>
                  <m:sty m:val="p"/>
                </m:rPr>
                <m:t>(</m:t>
              </m:r>
              <m:acc>
                <m:accPr>
                  <m:chr m:val="̂"/>
                </m:accPr>
                <m:e>
                  <m:r>
                    <m:t>I</m:t>
                  </m:r>
                </m:e>
              </m:acc>
              <m:r>
                <m:rPr>
                  <m:sty m:val="p"/>
                </m:rPr>
                <m:t>,</m:t>
              </m:r>
              <m:r>
                <m:t>I</m:t>
              </m:r>
              <m:r>
                <m:rPr>
                  <m:sty m:val="p"/>
                </m:rPr>
                <m:t>)</m:t>
              </m:r>
              <m:r>
                <m:rPr>
                  <m:sty m:val="p"/>
                </m:rPr>
                <m:t>,</m:t>
              </m:r>
            </m:oMath>
          </w:p>
        </w:tc>
        <w:tc>
          <w:tcPr>
            <w:tcW w:w="850" w:type="dxa"/>
            <w:vAlign w:val="center"/>
          </w:tcPr>
          <w:p>
            <w:pPr>
              <w:pStyle w:val="SPIEbodytext"/>
              <w:jc w:val="right"/>
            </w:pPr>
            <w:r>
              <w:rPr>
                <w:rFonts w:ascii="Times New Roman" w:hAnsi="Times New Roman" w:eastAsia="Times New Roman"/>
                <w:sz w:val="20"/>
              </w:rPr>
              <w:t>(3)</w:t>
            </w:r>
          </w:p>
        </w:tc>
      </w:tr>
    </w:tbl>
    <w:p>
      <w:pPr>
        <w:pStyle w:val="SPIEbodytext"/>
        <w:jc w:val="both"/>
      </w:pPr>
      <w:r>
        <w:rPr>
          <w:rFonts w:ascii="Times New Roman" w:hAnsi="Times New Roman" w:eastAsia="Times New Roman"/>
          <w:sz w:val="20"/>
        </w:rPr>
        <w:t xml:space="preserve">with</w:t>
      </w:r>
      <w:r>
        <w:rPr>
          <w:rFonts w:ascii="Times New Roman" w:hAnsi="Times New Roman" w:eastAsia="Times New Roman"/>
          <w:sz w:val="20"/>
        </w:rPr>
        <w:t xml:space="preserve"> </w:t>
      </w:r>
      <m:oMath>
        <m:r>
          <m:t>λ</m:t>
        </m:r>
        <m:r>
          <m:rPr>
            <m:sty m:val="p"/>
          </m:rPr>
          <m:t>=</m:t>
        </m:r>
        <m:r>
          <m:t>0.2</m:t>
        </m:r>
      </m:oMath>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The final objective is</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r>
                <m:rPr>
                  <m:scr m:val="script"/>
                  <m:sty m:val="p"/>
                </m:rPr>
                <m:t>L</m:t>
              </m:r>
              <m:r>
                <m:rPr>
                  <m:sty m:val="p"/>
                </m:rPr>
                <m:t>=</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f</m:t>
                  </m:r>
                  <m:r>
                    <m:rPr>
                      <m:sty m:val="p"/>
                    </m:rPr>
                    <m:t>u</m:t>
                  </m:r>
                  <m:r>
                    <m:rPr>
                      <m:sty m:val="p"/>
                    </m:rPr>
                    <m:t>l</m:t>
                  </m:r>
                  <m:r>
                    <m:rPr>
                      <m:sty m:val="p"/>
                    </m:rPr>
                    <m:t>l</m:t>
                  </m:r>
                </m:sub>
              </m:sSub>
              <m:r>
                <m:rPr>
                  <m:sty m:val="p"/>
                </m:rPr>
                <m:t>,</m:t>
              </m:r>
              <m:r>
                <m:t>I</m:t>
              </m:r>
              <m:r>
                <m:rPr>
                  <m:sty m:val="p"/>
                </m:rPr>
                <m:t>)</m:t>
              </m:r>
              <m:r>
                <m:rPr>
                  <m:sty m:val="p"/>
                </m:rPr>
                <m:t>+</m:t>
              </m:r>
              <m:r>
                <m:t>β</m:t>
              </m:r>
              <m:r>
                <m:t> </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d</m:t>
                  </m:r>
                  <m:r>
                    <m:rPr>
                      <m:sty m:val="p"/>
                    </m:rPr>
                    <m:t>r</m:t>
                  </m:r>
                  <m:r>
                    <m:rPr>
                      <m:sty m:val="p"/>
                    </m:rPr>
                    <m:t>o</m:t>
                  </m:r>
                  <m:r>
                    <m:rPr>
                      <m:sty m:val="p"/>
                    </m:rPr>
                    <m:t>p</m:t>
                  </m:r>
                </m:sub>
              </m:sSub>
              <m:r>
                <m:rPr>
                  <m:sty m:val="p"/>
                </m:rPr>
                <m:t>,</m:t>
              </m:r>
              <m:r>
                <m:t>I</m:t>
              </m:r>
              <m:r>
                <m:rPr>
                  <m:sty m:val="p"/>
                </m:rPr>
                <m:t>)</m:t>
              </m:r>
              <m:r>
                <m:rPr>
                  <m:sty m:val="p"/>
                </m:rPr>
                <m:t>,</m:t>
              </m:r>
            </m:oMath>
          </w:p>
        </w:tc>
        <w:tc>
          <w:tcPr>
            <w:tcW w:w="850" w:type="dxa"/>
            <w:vAlign w:val="center"/>
          </w:tcPr>
          <w:p>
            <w:pPr>
              <w:pStyle w:val="SPIEbodytext"/>
              <w:jc w:val="right"/>
            </w:pPr>
            <w:r>
              <w:rPr>
                <w:rFonts w:ascii="Times New Roman" w:hAnsi="Times New Roman" w:eastAsia="Times New Roman"/>
                <w:sz w:val="20"/>
              </w:rPr>
              <w:t>(4)</w:t>
            </w:r>
          </w:p>
        </w:tc>
      </w:tr>
    </w:tbl>
    <w:p>
      <w:pPr>
        <w:pStyle w:val="SPIEbodytext"/>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β</m:t>
        </m:r>
        <m:r>
          <m:rPr>
            <m:sty m:val="p"/>
          </m:rPr>
          <m:t>=</m:t>
        </m:r>
        <m:r>
          <m:t>0.5</m:t>
        </m:r>
      </m:oMath>
      <w:r>
        <w:rPr>
          <w:rFonts w:ascii="Times New Roman" w:hAnsi="Times New Roman" w:eastAsia="Times New Roman"/>
          <w:sz w:val="20"/>
        </w:rPr>
        <w:t xml:space="preserve">–</w:t>
      </w:r>
      <m:oMath>
        <m:r>
          <m:t>1.0</m:t>
        </m:r>
      </m:oMath>
      <w:r>
        <w:rPr>
          <w:rFonts w:ascii="Times New Roman" w:hAnsi="Times New Roman" w:eastAsia="Times New Roman"/>
          <w:sz w:val="20"/>
        </w:rPr>
        <w:t xml:space="preserve">. Related sparse-view designs further modulate masking with depth and density cues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[19]</w:t>
      </w:r>
      <w:r>
        <w:rPr>
          <w:rFonts w:ascii="Times New Roman" w:hAnsi="Times New Roman" w:eastAsia="Times New Roman"/>
          <w:sz w:val="20"/>
        </w:rPr>
        <w:t xml:space="preserve">; DVR instead uses a progressive random schedule with an uncompensated dropout branch.</w:t>
      </w:r>
    </w:p>
    <w:bookmarkEnd w:id="43"/>
    <w:bookmarkEnd w:id="44"/>
    <w:bookmarkStart w:id="51" w:name="_experiments"/>
    <w:p>
      <w:pPr>
        <w:pStyle w:val="1"/>
      </w:pPr>
      <w:r>
        <w:rPr>
          <w:rFonts w:ascii="Times New Roman" w:hAnsi="Times New Roman" w:eastAsia="Times New Roman"/>
          <w:b/>
          <w:sz w:val="22"/>
        </w:rPr>
        <w:t xml:space="preserve">EXPERIMENTS</w:t>
      </w:r>
    </w:p>
    <w:bookmarkStart w:id="45" w:name="_8c71682b4dd082a37c036392af9a2ba722ffa00"/>
    <w:p>
      <w:pPr>
        <w:pStyle w:val="2"/>
      </w:pPr>
      <w:r>
        <w:rPr>
          <w:rFonts w:ascii="Times New Roman" w:hAnsi="Times New Roman" w:eastAsia="Times New Roman"/>
          <w:b/>
          <w:sz w:val="20"/>
        </w:rPr>
        <w:t xml:space="preserve">Experimental Setup and Datasets</w:t>
      </w:r>
    </w:p>
    <w:p>
      <w:pPr>
        <w:pStyle w:val="SPIEbodytext"/>
        <w:jc w:val="both"/>
      </w:pPr>
      <w:r>
        <w:rPr>
          <w:rFonts w:ascii="Times New Roman" w:hAnsi="Times New Roman" w:eastAsia="Times New Roman"/>
          <w:sz w:val="20"/>
        </w:rPr>
        <w:t xml:space="preserve">The evaluation of SynGS is conducted using two datasets: Mip-NeRF 360, which contains unbounded 360° scenes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[20]</w:t>
      </w:r>
      <w:r>
        <w:rPr>
          <w:rFonts w:ascii="Times New Roman" w:hAnsi="Times New Roman" w:eastAsia="Times New Roman"/>
          <w:sz w:val="20"/>
        </w:rPr>
        <w:t xml:space="preserve">, and LLFF, which consists of forward-facing real-world captures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[21]</w:t>
      </w:r>
      <w:r>
        <w:rPr>
          <w:rFonts w:ascii="Times New Roman" w:hAnsi="Times New Roman" w:eastAsia="Times New Roman"/>
          <w:sz w:val="20"/>
        </w:rPr>
        <w:t xml:space="preserve">. Images from both datasets are downsampled by a factor of 8. Mip-NeRF 360 scenes are tested with 4, 6, and 9 uniformly sampled input views. Metrics are PSNR, SSIM, and LPIPS. We compare SynGS with the NeRF- and 3DGS-based methods listed in Table 1 and Table 2.</w:t>
      </w:r>
    </w:p>
    <w:p>
      <w:pPr>
        <w:pStyle w:val="SPIEbodytext"/>
        <w:jc w:val="both"/>
      </w:pPr>
      <w:r>
        <w:rPr>
          <w:rFonts w:ascii="Times New Roman" w:hAnsi="Times New Roman" w:eastAsia="Times New Roman"/>
          <w:sz w:val="20"/>
        </w:rPr>
        <w:t xml:space="preserve">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The experiments are implemented in PyTorch and executed on an NVIDIA RTX 4090 GPU.</w:t>
      </w:r>
    </w:p>
    <w:bookmarkEnd w:id="45"/>
    <w:bookmarkStart w:id="49" w:name="_c8eb0011d78a6c0369266f6d6a40137701048a6"/>
    <w:p>
      <w:pPr>
        <w:pStyle w:val="2"/>
      </w:pPr>
      <w:r>
        <w:rPr>
          <w:rFonts w:ascii="Times New Roman" w:hAnsi="Times New Roman" w:eastAsia="Times New Roman"/>
          <w:b/>
          <w:sz w:val="20"/>
        </w:rPr>
        <w:t xml:space="preserve">Quantitative and Qualitative Results</w:t>
      </w:r>
    </w:p>
    <w:p>
      <w:pPr>
        <w:pStyle w:val="SPIEtablecaption"/>
        <w:jc w:val="both"/>
      </w:pPr>
      <w:r>
        <w:rPr>
          <w:rFonts w:ascii="Times New Roman" w:hAnsi="Times New Roman" w:eastAsia="Times New Roman"/>
          <w:sz w:val="18"/>
        </w:rPr>
        <w:t xml:space="preserve">Table 1. Performance comparisons of sparse-view synthesis on Mip-NeRF 360 (4/6/9 views).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883"/>
        <w:gridCol w:w="883"/>
        <w:gridCol w:w="883"/>
        <w:gridCol w:w="883"/>
        <w:gridCol w:w="883"/>
        <w:gridCol w:w="883"/>
        <w:gridCol w:w="883"/>
        <w:gridCol w:w="883"/>
        <w:gridCol w:w="883"/>
        <w:gridCol w:w="883"/>
        <w:gridCol w:w="883"/>
      </w:tblGrid>
      <w:tr>
        <w:trPr>
          <w:cantSplit/>
        </w:trPr>
        <w:tc>
          <w:tcPr>
            <w:tcW w:type="dxa" w:w="883"/>
          </w:tcPr>
          <w:p>
            <w:pPr>
              <w:jc w:val="center"/>
            </w:pPr>
            <w:r/>
            <w:r>
              <w:rPr>
                <w:rFonts w:ascii="Times New Roman" w:hAnsi="Times New Roman" w:eastAsia="Times New Roman"/>
                <w:b w:val="0"/>
                <w:sz w:val="16"/>
              </w:rPr>
            </w:r>
          </w:p>
        </w:tc>
        <w:tc>
          <w:tcPr>
            <w:tcW w:type="dxa" w:w="883"/>
          </w:tcPr>
          <w:p>
            <w:pPr>
              <w:jc w:val="center"/>
            </w:pPr>
            <w:r/>
            <w:r>
              <w:rPr>
                <w:rFonts w:ascii="Times New Roman" w:hAnsi="Times New Roman" w:eastAsia="Times New Roman"/>
                <w:b/>
                <w:sz w:val="16"/>
              </w:rPr>
              <w:t>Methods</w:t>
            </w:r>
          </w:p>
        </w:tc>
        <w:tc>
          <w:tcPr>
            <w:tcW w:type="dxa" w:w="2649"/>
            <w:gridSpan w:val="3"/>
          </w:tcPr>
          <w:p>
            <w:pPr>
              <w:jc w:val="center"/>
            </w:pPr>
            <w:r/>
            <w:r>
              <w:rPr>
                <w:rFonts w:ascii="Times New Roman" w:hAnsi="Times New Roman" w:eastAsia="Times New Roman"/>
                <w:b/>
                <w:sz w:val="16"/>
              </w:rPr>
              <w:t>Mip-NeRF 360 (4-view)</w:t>
            </w:r>
          </w:p>
        </w:tc>
        <w:tc>
          <w:tcPr>
            <w:tcW w:type="dxa" w:w="2649"/>
            <w:gridSpan w:val="3"/>
          </w:tcPr>
          <w:p>
            <w:pPr>
              <w:jc w:val="center"/>
            </w:pPr>
            <w:r/>
            <w:r>
              <w:rPr>
                <w:rFonts w:ascii="Times New Roman" w:hAnsi="Times New Roman" w:eastAsia="Times New Roman"/>
                <w:b/>
                <w:sz w:val="16"/>
              </w:rPr>
              <w:t>Mip-NeRF 360 (6-view)</w:t>
            </w:r>
          </w:p>
        </w:tc>
        <w:tc>
          <w:tcPr>
            <w:tcW w:type="dxa" w:w="2649"/>
            <w:gridSpan w:val="3"/>
          </w:tcPr>
          <w:p>
            <w:pPr>
              <w:jc w:val="center"/>
            </w:pPr>
            <w:r/>
            <w:r>
              <w:rPr>
                <w:rFonts w:ascii="Times New Roman" w:hAnsi="Times New Roman" w:eastAsia="Times New Roman"/>
                <w:b/>
                <w:sz w:val="16"/>
              </w:rPr>
              <w:t>Mip-NeRF 360 (9-view)</w:t>
            </w:r>
          </w:p>
        </w:tc>
      </w:tr>
      <w:tr>
        <w:trPr>
          <w:cantSplit/>
        </w:trPr>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r>
      <w:tr>
        <w:trPr>
          <w:cantSplit/>
        </w:trPr>
        <w:tc>
          <w:tcPr>
            <w:tcW w:type="dxa" w:w="883"/>
            <w:vMerge w:val="restart"/>
          </w:tcPr>
          <w:p>
            <w:pPr>
              <w:jc w:val="center"/>
            </w:pPr>
            <w:r/>
            <w:r>
              <w:rPr>
                <w:rFonts w:ascii="Times New Roman" w:hAnsi="Times New Roman" w:eastAsia="Times New Roman"/>
                <w:b/>
                <w:sz w:val="14"/>
              </w:rPr>
              <w:t>NeRF-based</w:t>
            </w:r>
          </w:p>
        </w:tc>
        <w:tc>
          <w:tcPr>
            <w:tcW w:type="dxa" w:w="883"/>
          </w:tcPr>
          <w:p>
            <w:pPr>
              <w:jc w:val="left"/>
            </w:pPr>
            <w:r/>
            <w:r>
              <w:rPr>
                <w:rFonts w:ascii="Times New Roman" w:hAnsi="Times New Roman" w:eastAsia="Times New Roman"/>
                <w:b w:val="0"/>
                <w:sz w:val="16"/>
              </w:rPr>
              <w:t>RegNeRF</w:t>
            </w:r>
          </w:p>
        </w:tc>
        <w:tc>
          <w:tcPr>
            <w:tcW w:type="dxa" w:w="883"/>
          </w:tcPr>
          <w:p>
            <w:pPr>
              <w:jc w:val="center"/>
            </w:pPr>
            <w:r/>
            <w:r>
              <w:rPr>
                <w:rFonts w:ascii="Times New Roman" w:hAnsi="Times New Roman" w:eastAsia="Times New Roman"/>
                <w:b w:val="0"/>
                <w:sz w:val="16"/>
              </w:rPr>
              <w:t>19.88</w:t>
            </w:r>
          </w:p>
        </w:tc>
        <w:tc>
          <w:tcPr>
            <w:tcW w:type="dxa" w:w="883"/>
          </w:tcPr>
          <w:p>
            <w:pPr>
              <w:jc w:val="center"/>
            </w:pPr>
            <w:r/>
            <w:r>
              <w:rPr>
                <w:rFonts w:ascii="Times New Roman" w:hAnsi="Times New Roman" w:eastAsia="Times New Roman"/>
                <w:b w:val="0"/>
                <w:sz w:val="16"/>
              </w:rPr>
              <w:t>12.59</w:t>
            </w:r>
          </w:p>
        </w:tc>
        <w:tc>
          <w:tcPr>
            <w:tcW w:type="dxa" w:w="883"/>
          </w:tcPr>
          <w:p>
            <w:pPr>
              <w:jc w:val="center"/>
            </w:pPr>
            <w:r/>
            <w:r>
              <w:rPr>
                <w:rFonts w:ascii="Times New Roman" w:hAnsi="Times New Roman" w:eastAsia="Times New Roman"/>
                <w:b w:val="0"/>
                <w:sz w:val="16"/>
              </w:rPr>
              <w:t>0.841</w:t>
            </w:r>
          </w:p>
        </w:tc>
        <w:tc>
          <w:tcPr>
            <w:tcW w:type="dxa" w:w="883"/>
          </w:tcPr>
          <w:p>
            <w:pPr>
              <w:jc w:val="center"/>
            </w:pPr>
            <w:r/>
            <w:r>
              <w:rPr>
                <w:rFonts w:ascii="Times New Roman" w:hAnsi="Times New Roman" w:eastAsia="Times New Roman"/>
                <w:b w:val="0"/>
                <w:sz w:val="16"/>
              </w:rPr>
              <w:t>20.72</w:t>
            </w:r>
          </w:p>
        </w:tc>
        <w:tc>
          <w:tcPr>
            <w:tcW w:type="dxa" w:w="883"/>
          </w:tcPr>
          <w:p>
            <w:pPr>
              <w:jc w:val="center"/>
            </w:pPr>
            <w:r/>
            <w:r>
              <w:rPr>
                <w:rFonts w:ascii="Times New Roman" w:hAnsi="Times New Roman" w:eastAsia="Times New Roman"/>
                <w:b w:val="0"/>
                <w:sz w:val="16"/>
              </w:rPr>
              <w:t>13.41</w:t>
            </w:r>
          </w:p>
        </w:tc>
        <w:tc>
          <w:tcPr>
            <w:tcW w:type="dxa" w:w="883"/>
          </w:tcPr>
          <w:p>
            <w:pPr>
              <w:jc w:val="center"/>
            </w:pPr>
            <w:r/>
            <w:r>
              <w:rPr>
                <w:rFonts w:ascii="Times New Roman" w:hAnsi="Times New Roman" w:eastAsia="Times New Roman"/>
                <w:b w:val="0"/>
                <w:sz w:val="16"/>
              </w:rPr>
              <w:t>0.847</w:t>
            </w:r>
          </w:p>
        </w:tc>
        <w:tc>
          <w:tcPr>
            <w:tcW w:type="dxa" w:w="883"/>
          </w:tcPr>
          <w:p>
            <w:pPr>
              <w:jc w:val="center"/>
            </w:pPr>
            <w:r/>
            <w:r>
              <w:rPr>
                <w:rFonts w:ascii="Times New Roman" w:hAnsi="Times New Roman" w:eastAsia="Times New Roman"/>
                <w:b w:val="0"/>
                <w:sz w:val="16"/>
              </w:rPr>
              <w:t>19.70</w:t>
            </w:r>
          </w:p>
        </w:tc>
        <w:tc>
          <w:tcPr>
            <w:tcW w:type="dxa" w:w="883"/>
          </w:tcPr>
          <w:p>
            <w:pPr>
              <w:jc w:val="center"/>
            </w:pPr>
            <w:r/>
            <w:r>
              <w:rPr>
                <w:rFonts w:ascii="Times New Roman" w:hAnsi="Times New Roman" w:eastAsia="Times New Roman"/>
                <w:b w:val="0"/>
                <w:sz w:val="16"/>
              </w:rPr>
              <w:t>13.68</w:t>
            </w:r>
          </w:p>
        </w:tc>
        <w:tc>
          <w:tcPr>
            <w:tcW w:type="dxa" w:w="883"/>
          </w:tcPr>
          <w:p>
            <w:pPr>
              <w:jc w:val="center"/>
            </w:pPr>
            <w:r/>
            <w:r>
              <w:rPr>
                <w:rFonts w:ascii="Times New Roman" w:hAnsi="Times New Roman" w:eastAsia="Times New Roman"/>
                <w:b w:val="0"/>
                <w:sz w:val="16"/>
              </w:rPr>
              <w:t>0.852</w:t>
            </w:r>
          </w:p>
        </w:tc>
      </w:tr>
      <w:tr>
        <w:trPr>
          <w:cantSplit/>
        </w:trPr>
        <w:tc>
          <w:tcPr>
            <w:tcW w:type="dxa" w:w="883"/>
            <w:vMerge/>
          </w:tcPr>
          <w:p/>
        </w:tc>
        <w:tc>
          <w:tcPr>
            <w:tcW w:type="dxa" w:w="883"/>
          </w:tcPr>
          <w:p>
            <w:pPr>
              <w:jc w:val="left"/>
            </w:pPr>
            <w:r/>
            <w:r>
              <w:rPr>
                <w:rFonts w:ascii="Times New Roman" w:hAnsi="Times New Roman" w:eastAsia="Times New Roman"/>
                <w:b w:val="0"/>
                <w:sz w:val="16"/>
              </w:rPr>
              <w:t>SparseNeRF</w:t>
            </w:r>
          </w:p>
        </w:tc>
        <w:tc>
          <w:tcPr>
            <w:tcW w:type="dxa" w:w="883"/>
          </w:tcPr>
          <w:p>
            <w:pPr>
              <w:jc w:val="center"/>
            </w:pPr>
            <w:r/>
            <w:r>
              <w:rPr>
                <w:rFonts w:ascii="Times New Roman" w:hAnsi="Times New Roman" w:eastAsia="Times New Roman"/>
                <w:b w:val="0"/>
                <w:sz w:val="16"/>
              </w:rPr>
              <w:t>17.76</w:t>
            </w:r>
          </w:p>
        </w:tc>
        <w:tc>
          <w:tcPr>
            <w:tcW w:type="dxa" w:w="883"/>
          </w:tcPr>
          <w:p>
            <w:pPr>
              <w:jc w:val="center"/>
            </w:pPr>
            <w:r/>
            <w:r>
              <w:rPr>
                <w:rFonts w:ascii="Times New Roman" w:hAnsi="Times New Roman" w:eastAsia="Times New Roman"/>
                <w:b w:val="0"/>
                <w:sz w:val="16"/>
              </w:rPr>
              <w:t>12.83</w:t>
            </w:r>
          </w:p>
        </w:tc>
        <w:tc>
          <w:tcPr>
            <w:tcW w:type="dxa" w:w="883"/>
          </w:tcPr>
          <w:p>
            <w:pPr>
              <w:jc w:val="center"/>
            </w:pPr>
            <w:r/>
            <w:r>
              <w:rPr>
                <w:rFonts w:ascii="Times New Roman" w:hAnsi="Times New Roman" w:eastAsia="Times New Roman"/>
                <w:b w:val="0"/>
                <w:sz w:val="16"/>
              </w:rPr>
              <w:t>0.845</w:t>
            </w:r>
          </w:p>
        </w:tc>
        <w:tc>
          <w:tcPr>
            <w:tcW w:type="dxa" w:w="883"/>
          </w:tcPr>
          <w:p>
            <w:pPr>
              <w:jc w:val="center"/>
            </w:pPr>
            <w:r/>
            <w:r>
              <w:rPr>
                <w:rFonts w:ascii="Times New Roman" w:hAnsi="Times New Roman" w:eastAsia="Times New Roman"/>
                <w:b w:val="0"/>
                <w:sz w:val="16"/>
              </w:rPr>
              <w:t>19.74</w:t>
            </w:r>
          </w:p>
        </w:tc>
        <w:tc>
          <w:tcPr>
            <w:tcW w:type="dxa" w:w="883"/>
          </w:tcPr>
          <w:p>
            <w:pPr>
              <w:jc w:val="center"/>
            </w:pPr>
            <w:r/>
            <w:r>
              <w:rPr>
                <w:rFonts w:ascii="Times New Roman" w:hAnsi="Times New Roman" w:eastAsia="Times New Roman"/>
                <w:b w:val="0"/>
                <w:sz w:val="16"/>
              </w:rPr>
              <w:t>13.42</w:t>
            </w:r>
          </w:p>
        </w:tc>
        <w:tc>
          <w:tcPr>
            <w:tcW w:type="dxa" w:w="883"/>
          </w:tcPr>
          <w:p>
            <w:pPr>
              <w:jc w:val="center"/>
            </w:pPr>
            <w:r/>
            <w:r>
              <w:rPr>
                <w:rFonts w:ascii="Times New Roman" w:hAnsi="Times New Roman" w:eastAsia="Times New Roman"/>
                <w:b w:val="0"/>
                <w:sz w:val="16"/>
              </w:rPr>
              <w:t>0.861</w:t>
            </w:r>
          </w:p>
        </w:tc>
        <w:tc>
          <w:tcPr>
            <w:tcW w:type="dxa" w:w="883"/>
          </w:tcPr>
          <w:p>
            <w:pPr>
              <w:jc w:val="center"/>
            </w:pPr>
            <w:r/>
            <w:r>
              <w:rPr>
                <w:rFonts w:ascii="Times New Roman" w:hAnsi="Times New Roman" w:eastAsia="Times New Roman"/>
                <w:b w:val="0"/>
                <w:sz w:val="16"/>
              </w:rPr>
              <w:t>21.56</w:t>
            </w:r>
          </w:p>
        </w:tc>
        <w:tc>
          <w:tcPr>
            <w:tcW w:type="dxa" w:w="883"/>
          </w:tcPr>
          <w:p>
            <w:pPr>
              <w:jc w:val="center"/>
            </w:pPr>
            <w:r/>
            <w:r>
              <w:rPr>
                <w:rFonts w:ascii="Times New Roman" w:hAnsi="Times New Roman" w:eastAsia="Times New Roman"/>
                <w:b w:val="0"/>
                <w:sz w:val="16"/>
              </w:rPr>
              <w:t>14.36</w:t>
            </w:r>
          </w:p>
        </w:tc>
        <w:tc>
          <w:tcPr>
            <w:tcW w:type="dxa" w:w="883"/>
          </w:tcPr>
          <w:p>
            <w:pPr>
              <w:jc w:val="center"/>
            </w:pPr>
            <w:r/>
            <w:r>
              <w:rPr>
                <w:rFonts w:ascii="Times New Roman" w:hAnsi="Times New Roman" w:eastAsia="Times New Roman"/>
                <w:b w:val="0"/>
                <w:sz w:val="16"/>
              </w:rPr>
              <w:t>0.873</w:t>
            </w:r>
          </w:p>
        </w:tc>
      </w:tr>
      <w:tr>
        <w:trPr>
          <w:cantSplit/>
        </w:trPr>
        <w:tc>
          <w:tcPr>
            <w:tcW w:type="dxa" w:w="883"/>
            <w:vMerge w:val="restart"/>
          </w:tcPr>
          <w:p>
            <w:pPr>
              <w:jc w:val="center"/>
            </w:pPr>
            <w:r/>
            <w:r>
              <w:rPr>
                <w:rFonts w:ascii="Times New Roman" w:hAnsi="Times New Roman" w:eastAsia="Times New Roman"/>
                <w:b/>
                <w:sz w:val="14"/>
              </w:rPr>
              <w:t>3DGS-based</w:t>
            </w:r>
          </w:p>
        </w:tc>
        <w:tc>
          <w:tcPr>
            <w:tcW w:type="dxa" w:w="883"/>
          </w:tcPr>
          <w:p>
            <w:pPr>
              <w:jc w:val="left"/>
            </w:pPr>
            <w:r/>
            <w:r>
              <w:rPr>
                <w:rFonts w:ascii="Times New Roman" w:hAnsi="Times New Roman" w:eastAsia="Times New Roman"/>
                <w:b w:val="0"/>
                <w:sz w:val="16"/>
              </w:rPr>
              <w:t>3DGS</w:t>
            </w:r>
          </w:p>
        </w:tc>
        <w:tc>
          <w:tcPr>
            <w:tcW w:type="dxa" w:w="883"/>
          </w:tcPr>
          <w:p>
            <w:pPr>
              <w:jc w:val="center"/>
            </w:pPr>
            <w:r/>
            <w:r>
              <w:rPr>
                <w:rFonts w:ascii="Times New Roman" w:hAnsi="Times New Roman" w:eastAsia="Times New Roman"/>
                <w:b w:val="0"/>
                <w:sz w:val="16"/>
              </w:rPr>
              <w:t>10.80</w:t>
            </w:r>
          </w:p>
        </w:tc>
        <w:tc>
          <w:tcPr>
            <w:tcW w:type="dxa" w:w="883"/>
          </w:tcPr>
          <w:p>
            <w:pPr>
              <w:jc w:val="center"/>
            </w:pPr>
            <w:r/>
            <w:r>
              <w:rPr>
                <w:rFonts w:ascii="Times New Roman" w:hAnsi="Times New Roman" w:eastAsia="Times New Roman"/>
                <w:b w:val="0"/>
                <w:sz w:val="16"/>
              </w:rPr>
              <w:t>20.31</w:t>
            </w:r>
          </w:p>
        </w:tc>
        <w:tc>
          <w:tcPr>
            <w:tcW w:type="dxa" w:w="883"/>
          </w:tcPr>
          <w:p>
            <w:pPr>
              <w:jc w:val="center"/>
            </w:pPr>
            <w:r/>
            <w:r>
              <w:rPr>
                <w:rFonts w:ascii="Times New Roman" w:hAnsi="Times New Roman" w:eastAsia="Times New Roman"/>
                <w:b w:val="0"/>
                <w:sz w:val="16"/>
              </w:rPr>
              <w:t>0.899</w:t>
            </w:r>
          </w:p>
        </w:tc>
        <w:tc>
          <w:tcPr>
            <w:tcW w:type="dxa" w:w="883"/>
          </w:tcPr>
          <w:p>
            <w:pPr>
              <w:jc w:val="center"/>
            </w:pPr>
            <w:r/>
            <w:r>
              <w:rPr>
                <w:rFonts w:ascii="Times New Roman" w:hAnsi="Times New Roman" w:eastAsia="Times New Roman"/>
                <w:b w:val="0"/>
                <w:sz w:val="16"/>
              </w:rPr>
              <w:t>8.38</w:t>
            </w:r>
          </w:p>
        </w:tc>
        <w:tc>
          <w:tcPr>
            <w:tcW w:type="dxa" w:w="883"/>
          </w:tcPr>
          <w:p>
            <w:pPr>
              <w:jc w:val="center"/>
            </w:pPr>
            <w:r/>
            <w:r>
              <w:rPr>
                <w:rFonts w:ascii="Times New Roman" w:hAnsi="Times New Roman" w:eastAsia="Times New Roman"/>
                <w:b w:val="0"/>
                <w:sz w:val="16"/>
              </w:rPr>
              <w:t>22.12</w:t>
            </w:r>
          </w:p>
        </w:tc>
        <w:tc>
          <w:tcPr>
            <w:tcW w:type="dxa" w:w="883"/>
          </w:tcPr>
          <w:p>
            <w:pPr>
              <w:jc w:val="center"/>
            </w:pPr>
            <w:r/>
            <w:r>
              <w:rPr>
                <w:rFonts w:ascii="Times New Roman" w:hAnsi="Times New Roman" w:eastAsia="Times New Roman"/>
                <w:b w:val="0"/>
                <w:sz w:val="16"/>
              </w:rPr>
              <w:t>0.913</w:t>
            </w:r>
          </w:p>
        </w:tc>
        <w:tc>
          <w:tcPr>
            <w:tcW w:type="dxa" w:w="883"/>
          </w:tcPr>
          <w:p>
            <w:pPr>
              <w:jc w:val="center"/>
            </w:pPr>
            <w:r/>
            <w:r>
              <w:rPr>
                <w:rFonts w:ascii="Times New Roman" w:hAnsi="Times New Roman" w:eastAsia="Times New Roman"/>
                <w:b w:val="0"/>
                <w:sz w:val="16"/>
              </w:rPr>
              <w:t>6.42</w:t>
            </w:r>
          </w:p>
        </w:tc>
        <w:tc>
          <w:tcPr>
            <w:tcW w:type="dxa" w:w="883"/>
          </w:tcPr>
          <w:p>
            <w:pPr>
              <w:jc w:val="center"/>
            </w:pPr>
            <w:r/>
            <w:r>
              <w:rPr>
                <w:rFonts w:ascii="Times New Roman" w:hAnsi="Times New Roman" w:eastAsia="Times New Roman"/>
                <w:b w:val="0"/>
                <w:sz w:val="16"/>
              </w:rPr>
              <w:t>24.29</w:t>
            </w:r>
          </w:p>
        </w:tc>
        <w:tc>
          <w:tcPr>
            <w:tcW w:type="dxa" w:w="883"/>
          </w:tcPr>
          <w:p>
            <w:pPr>
              <w:jc w:val="center"/>
            </w:pPr>
            <w:r/>
            <w:r>
              <w:rPr>
                <w:rFonts w:ascii="Times New Roman" w:hAnsi="Times New Roman" w:eastAsia="Times New Roman"/>
                <w:b w:val="0"/>
                <w:sz w:val="16"/>
              </w:rPr>
              <w:t>0.930</w:t>
            </w:r>
          </w:p>
        </w:tc>
      </w:tr>
      <w:tr>
        <w:trPr>
          <w:cantSplit/>
        </w:trPr>
        <w:tc>
          <w:tcPr>
            <w:tcW w:type="dxa" w:w="883"/>
            <w:vMerge/>
          </w:tcPr>
          <w:p/>
        </w:tc>
        <w:tc>
          <w:tcPr>
            <w:tcW w:type="dxa" w:w="883"/>
          </w:tcPr>
          <w:p>
            <w:pPr>
              <w:jc w:val="left"/>
            </w:pPr>
            <w:r/>
            <w:r>
              <w:rPr>
                <w:rFonts w:ascii="Times New Roman" w:hAnsi="Times New Roman" w:eastAsia="Times New Roman"/>
                <w:b w:val="0"/>
                <w:sz w:val="16"/>
              </w:rPr>
              <w:t>CoR-GS</w:t>
            </w:r>
          </w:p>
        </w:tc>
        <w:tc>
          <w:tcPr>
            <w:tcW w:type="dxa" w:w="883"/>
          </w:tcPr>
          <w:p>
            <w:pPr>
              <w:jc w:val="center"/>
            </w:pPr>
            <w:r/>
            <w:r>
              <w:rPr>
                <w:rFonts w:ascii="Times New Roman" w:hAnsi="Times New Roman" w:eastAsia="Times New Roman"/>
                <w:b w:val="0"/>
                <w:sz w:val="16"/>
              </w:rPr>
              <w:t>11.76</w:t>
            </w:r>
          </w:p>
        </w:tc>
        <w:tc>
          <w:tcPr>
            <w:tcW w:type="dxa" w:w="883"/>
          </w:tcPr>
          <w:p>
            <w:pPr>
              <w:jc w:val="center"/>
            </w:pPr>
            <w:r/>
            <w:r>
              <w:rPr>
                <w:rFonts w:ascii="Times New Roman" w:hAnsi="Times New Roman" w:eastAsia="Times New Roman"/>
                <w:b w:val="0"/>
                <w:sz w:val="16"/>
              </w:rPr>
              <w:t>20.45</w:t>
            </w:r>
          </w:p>
        </w:tc>
        <w:tc>
          <w:tcPr>
            <w:tcW w:type="dxa" w:w="883"/>
          </w:tcPr>
          <w:p>
            <w:pPr>
              <w:jc w:val="center"/>
            </w:pPr>
            <w:r/>
            <w:r>
              <w:rPr>
                <w:rFonts w:ascii="Times New Roman" w:hAnsi="Times New Roman" w:eastAsia="Times New Roman"/>
                <w:b w:val="0"/>
                <w:sz w:val="16"/>
              </w:rPr>
              <w:t>0.856</w:t>
            </w:r>
          </w:p>
        </w:tc>
        <w:tc>
          <w:tcPr>
            <w:tcW w:type="dxa" w:w="883"/>
          </w:tcPr>
          <w:p>
            <w:pPr>
              <w:jc w:val="center"/>
            </w:pPr>
            <w:r/>
            <w:r>
              <w:rPr>
                <w:rFonts w:ascii="Times New Roman" w:hAnsi="Times New Roman" w:eastAsia="Times New Roman"/>
                <w:b w:val="0"/>
                <w:sz w:val="16"/>
              </w:rPr>
              <w:t>9.28</w:t>
            </w:r>
          </w:p>
        </w:tc>
        <w:tc>
          <w:tcPr>
            <w:tcW w:type="dxa" w:w="883"/>
          </w:tcPr>
          <w:p>
            <w:pPr>
              <w:jc w:val="center"/>
            </w:pPr>
            <w:r/>
            <w:r>
              <w:rPr>
                <w:rFonts w:ascii="Times New Roman" w:hAnsi="Times New Roman" w:eastAsia="Times New Roman"/>
                <w:b w:val="0"/>
                <w:sz w:val="16"/>
              </w:rPr>
              <w:t>22.57</w:t>
            </w:r>
          </w:p>
        </w:tc>
        <w:tc>
          <w:tcPr>
            <w:tcW w:type="dxa" w:w="883"/>
          </w:tcPr>
          <w:p>
            <w:pPr>
              <w:jc w:val="center"/>
            </w:pPr>
            <w:r/>
            <w:r>
              <w:rPr>
                <w:rFonts w:ascii="Times New Roman" w:hAnsi="Times New Roman" w:eastAsia="Times New Roman"/>
                <w:b w:val="0"/>
                <w:sz w:val="16"/>
              </w:rPr>
              <w:t>0.901</w:t>
            </w:r>
          </w:p>
        </w:tc>
        <w:tc>
          <w:tcPr>
            <w:tcW w:type="dxa" w:w="883"/>
          </w:tcPr>
          <w:p>
            <w:pPr>
              <w:jc w:val="center"/>
            </w:pPr>
            <w:r/>
            <w:r>
              <w:rPr>
                <w:rFonts w:ascii="Times New Roman" w:hAnsi="Times New Roman" w:eastAsia="Times New Roman"/>
                <w:b w:val="0"/>
                <w:sz w:val="16"/>
              </w:rPr>
              <w:t>7.04</w:t>
            </w:r>
          </w:p>
        </w:tc>
        <w:tc>
          <w:tcPr>
            <w:tcW w:type="dxa" w:w="883"/>
          </w:tcPr>
          <w:p>
            <w:pPr>
              <w:jc w:val="center"/>
            </w:pPr>
            <w:r/>
            <w:r>
              <w:rPr>
                <w:rFonts w:ascii="Times New Roman" w:hAnsi="Times New Roman" w:eastAsia="Times New Roman"/>
                <w:b w:val="0"/>
                <w:sz w:val="16"/>
              </w:rPr>
              <w:t>24.73</w:t>
            </w:r>
          </w:p>
        </w:tc>
        <w:tc>
          <w:tcPr>
            <w:tcW w:type="dxa" w:w="883"/>
          </w:tcPr>
          <w:p>
            <w:pPr>
              <w:jc w:val="center"/>
            </w:pPr>
            <w:r/>
            <w:r>
              <w:rPr>
                <w:rFonts w:ascii="Times New Roman" w:hAnsi="Times New Roman" w:eastAsia="Times New Roman"/>
                <w:b w:val="0"/>
                <w:sz w:val="16"/>
              </w:rPr>
              <w:t>0.926</w:t>
            </w:r>
          </w:p>
        </w:tc>
      </w:tr>
      <w:tr>
        <w:trPr>
          <w:cantSplit/>
        </w:trPr>
        <w:tc>
          <w:tcPr>
            <w:tcW w:type="dxa" w:w="883"/>
            <w:vMerge/>
          </w:tcPr>
          <w:p/>
        </w:tc>
        <w:tc>
          <w:tcPr>
            <w:tcW w:type="dxa" w:w="883"/>
          </w:tcPr>
          <w:p>
            <w:pPr>
              <w:jc w:val="left"/>
            </w:pPr>
            <w:r/>
            <w:r>
              <w:rPr>
                <w:rFonts w:ascii="Times New Roman" w:hAnsi="Times New Roman" w:eastAsia="Times New Roman"/>
                <w:b w:val="0"/>
                <w:sz w:val="16"/>
              </w:rPr>
              <w:t>DropGaussian</w:t>
            </w:r>
          </w:p>
        </w:tc>
        <w:tc>
          <w:tcPr>
            <w:tcW w:type="dxa" w:w="883"/>
          </w:tcPr>
          <w:p>
            <w:pPr>
              <w:jc w:val="center"/>
            </w:pPr>
            <w:r/>
            <w:r>
              <w:rPr>
                <w:rFonts w:ascii="Times New Roman" w:hAnsi="Times New Roman" w:eastAsia="Times New Roman"/>
                <w:b w:val="0"/>
                <w:sz w:val="16"/>
              </w:rPr>
              <w:t>11.57</w:t>
            </w:r>
          </w:p>
        </w:tc>
        <w:tc>
          <w:tcPr>
            <w:tcW w:type="dxa" w:w="883"/>
          </w:tcPr>
          <w:p>
            <w:pPr>
              <w:jc w:val="center"/>
            </w:pPr>
            <w:r/>
            <w:r>
              <w:rPr>
                <w:rFonts w:ascii="Times New Roman" w:hAnsi="Times New Roman" w:eastAsia="Times New Roman"/>
                <w:b w:val="0"/>
                <w:sz w:val="16"/>
              </w:rPr>
              <w:t>21.76</w:t>
            </w:r>
          </w:p>
        </w:tc>
        <w:tc>
          <w:tcPr>
            <w:tcW w:type="dxa" w:w="883"/>
          </w:tcPr>
          <w:p>
            <w:pPr>
              <w:jc w:val="center"/>
            </w:pPr>
            <w:r/>
            <w:r>
              <w:rPr>
                <w:rFonts w:ascii="Times New Roman" w:hAnsi="Times New Roman" w:eastAsia="Times New Roman"/>
                <w:b w:val="0"/>
                <w:sz w:val="16"/>
              </w:rPr>
              <w:t>0.837</w:t>
            </w:r>
          </w:p>
        </w:tc>
        <w:tc>
          <w:tcPr>
            <w:tcW w:type="dxa" w:w="883"/>
          </w:tcPr>
          <w:p>
            <w:pPr>
              <w:jc w:val="center"/>
            </w:pPr>
            <w:r/>
            <w:r>
              <w:rPr>
                <w:rFonts w:ascii="Times New Roman" w:hAnsi="Times New Roman" w:eastAsia="Times New Roman"/>
                <w:b w:val="0"/>
                <w:sz w:val="16"/>
              </w:rPr>
              <w:t>8.61</w:t>
            </w:r>
          </w:p>
        </w:tc>
        <w:tc>
          <w:tcPr>
            <w:tcW w:type="dxa" w:w="883"/>
          </w:tcPr>
          <w:p>
            <w:pPr>
              <w:jc w:val="center"/>
            </w:pPr>
            <w:r/>
            <w:r>
              <w:rPr>
                <w:rFonts w:ascii="Times New Roman" w:hAnsi="Times New Roman" w:eastAsia="Times New Roman"/>
                <w:b w:val="0"/>
                <w:sz w:val="16"/>
              </w:rPr>
              <w:t>22.98</w:t>
            </w:r>
          </w:p>
        </w:tc>
        <w:tc>
          <w:tcPr>
            <w:tcW w:type="dxa" w:w="883"/>
          </w:tcPr>
          <w:p>
            <w:pPr>
              <w:jc w:val="center"/>
            </w:pPr>
            <w:r/>
            <w:r>
              <w:rPr>
                <w:rFonts w:ascii="Times New Roman" w:hAnsi="Times New Roman" w:eastAsia="Times New Roman"/>
                <w:b w:val="0"/>
                <w:sz w:val="16"/>
              </w:rPr>
              <w:t>0.895</w:t>
            </w:r>
          </w:p>
        </w:tc>
        <w:tc>
          <w:tcPr>
            <w:tcW w:type="dxa" w:w="883"/>
          </w:tcPr>
          <w:p>
            <w:pPr>
              <w:jc w:val="center"/>
            </w:pPr>
            <w:r/>
            <w:r>
              <w:rPr>
                <w:rFonts w:ascii="Times New Roman" w:hAnsi="Times New Roman" w:eastAsia="Times New Roman"/>
                <w:b w:val="0"/>
                <w:sz w:val="16"/>
              </w:rPr>
              <w:t>8.02</w:t>
            </w:r>
          </w:p>
        </w:tc>
        <w:tc>
          <w:tcPr>
            <w:tcW w:type="dxa" w:w="883"/>
          </w:tcPr>
          <w:p>
            <w:pPr>
              <w:jc w:val="center"/>
            </w:pPr>
            <w:r/>
            <w:r>
              <w:rPr>
                <w:rFonts w:ascii="Times New Roman" w:hAnsi="Times New Roman" w:eastAsia="Times New Roman"/>
                <w:b w:val="0"/>
                <w:sz w:val="16"/>
              </w:rPr>
              <w:t>24.10</w:t>
            </w:r>
          </w:p>
        </w:tc>
        <w:tc>
          <w:tcPr>
            <w:tcW w:type="dxa" w:w="883"/>
          </w:tcPr>
          <w:p>
            <w:pPr>
              <w:jc w:val="center"/>
            </w:pPr>
            <w:r/>
            <w:r>
              <w:rPr>
                <w:rFonts w:ascii="Times New Roman" w:hAnsi="Times New Roman" w:eastAsia="Times New Roman"/>
                <w:b w:val="0"/>
                <w:sz w:val="16"/>
              </w:rPr>
              <w:t>0.915</w:t>
            </w:r>
          </w:p>
        </w:tc>
      </w:tr>
      <w:tr>
        <w:trPr>
          <w:cantSplit/>
        </w:trPr>
        <w:tc>
          <w:tcPr>
            <w:tcW w:type="dxa" w:w="883"/>
            <w:vMerge/>
          </w:tcPr>
          <w:p/>
        </w:tc>
        <w:tc>
          <w:tcPr>
            <w:tcW w:type="dxa" w:w="883"/>
          </w:tcPr>
          <w:p>
            <w:pPr>
              <w:jc w:val="left"/>
            </w:pPr>
            <w:r/>
            <w:r>
              <w:rPr>
                <w:rFonts w:ascii="Times New Roman" w:hAnsi="Times New Roman" w:eastAsia="Times New Roman"/>
                <w:b w:val="0"/>
                <w:sz w:val="16"/>
              </w:rPr>
              <w:t>D²GS</w:t>
            </w:r>
          </w:p>
        </w:tc>
        <w:tc>
          <w:tcPr>
            <w:tcW w:type="dxa" w:w="883"/>
          </w:tcPr>
          <w:p>
            <w:pPr>
              <w:jc w:val="center"/>
            </w:pPr>
            <w:r/>
            <w:r>
              <w:rPr>
                <w:rFonts w:ascii="Times New Roman" w:hAnsi="Times New Roman" w:eastAsia="Times New Roman"/>
                <w:b w:val="0"/>
                <w:sz w:val="16"/>
              </w:rPr>
              <w:t>2.58</w:t>
            </w:r>
          </w:p>
        </w:tc>
        <w:tc>
          <w:tcPr>
            <w:tcW w:type="dxa" w:w="883"/>
          </w:tcPr>
          <w:p>
            <w:pPr>
              <w:jc w:val="center"/>
            </w:pPr>
            <w:r/>
            <w:r>
              <w:rPr>
                <w:rFonts w:ascii="Times New Roman" w:hAnsi="Times New Roman" w:eastAsia="Times New Roman"/>
                <w:b w:val="0"/>
                <w:sz w:val="16"/>
              </w:rPr>
              <w:t>22.35</w:t>
            </w:r>
          </w:p>
        </w:tc>
        <w:tc>
          <w:tcPr>
            <w:tcW w:type="dxa" w:w="883"/>
          </w:tcPr>
          <w:p>
            <w:pPr>
              <w:jc w:val="center"/>
            </w:pPr>
            <w:r/>
            <w:r>
              <w:rPr>
                <w:rFonts w:ascii="Times New Roman" w:hAnsi="Times New Roman" w:eastAsia="Times New Roman"/>
                <w:b w:val="0"/>
                <w:sz w:val="16"/>
              </w:rPr>
              <w:t>0.923</w:t>
            </w:r>
          </w:p>
        </w:tc>
        <w:tc>
          <w:tcPr>
            <w:tcW w:type="dxa" w:w="883"/>
          </w:tcPr>
          <w:p>
            <w:pPr>
              <w:jc w:val="center"/>
            </w:pPr>
            <w:r/>
            <w:r>
              <w:rPr>
                <w:rFonts w:ascii="Times New Roman" w:hAnsi="Times New Roman" w:eastAsia="Times New Roman"/>
                <w:b w:val="0"/>
                <w:sz w:val="16"/>
              </w:rPr>
              <w:t>2.34</w:t>
            </w:r>
          </w:p>
        </w:tc>
        <w:tc>
          <w:tcPr>
            <w:tcW w:type="dxa" w:w="883"/>
          </w:tcPr>
          <w:p>
            <w:pPr>
              <w:jc w:val="center"/>
            </w:pPr>
            <w:r/>
            <w:r>
              <w:rPr>
                <w:rFonts w:ascii="Times New Roman" w:hAnsi="Times New Roman" w:eastAsia="Times New Roman"/>
                <w:b w:val="0"/>
                <w:sz w:val="16"/>
              </w:rPr>
              <w:t>24.74</w:t>
            </w:r>
          </w:p>
        </w:tc>
        <w:tc>
          <w:tcPr>
            <w:tcW w:type="dxa" w:w="883"/>
          </w:tcPr>
          <w:p>
            <w:pPr>
              <w:jc w:val="center"/>
            </w:pPr>
            <w:r/>
            <w:r>
              <w:rPr>
                <w:rFonts w:ascii="Times New Roman" w:hAnsi="Times New Roman" w:eastAsia="Times New Roman"/>
                <w:b w:val="0"/>
                <w:sz w:val="16"/>
              </w:rPr>
              <w:t>0.937</w:t>
            </w:r>
          </w:p>
        </w:tc>
        <w:tc>
          <w:tcPr>
            <w:tcW w:type="dxa" w:w="883"/>
          </w:tcPr>
          <w:p>
            <w:pPr>
              <w:jc w:val="center"/>
            </w:pPr>
            <w:r/>
            <w:r>
              <w:rPr>
                <w:rFonts w:ascii="Times New Roman" w:hAnsi="Times New Roman" w:eastAsia="Times New Roman"/>
                <w:b w:val="0"/>
                <w:sz w:val="16"/>
              </w:rPr>
              <w:t>2.11</w:t>
            </w:r>
          </w:p>
        </w:tc>
        <w:tc>
          <w:tcPr>
            <w:tcW w:type="dxa" w:w="883"/>
          </w:tcPr>
          <w:p>
            <w:pPr>
              <w:jc w:val="center"/>
            </w:pPr>
            <w:r/>
            <w:r>
              <w:rPr>
                <w:rFonts w:ascii="Times New Roman" w:hAnsi="Times New Roman" w:eastAsia="Times New Roman"/>
                <w:b w:val="0"/>
                <w:sz w:val="16"/>
              </w:rPr>
              <w:t>27.13</w:t>
            </w:r>
          </w:p>
        </w:tc>
        <w:tc>
          <w:tcPr>
            <w:tcW w:type="dxa" w:w="883"/>
          </w:tcPr>
          <w:p>
            <w:pPr>
              <w:jc w:val="center"/>
            </w:pPr>
            <w:r/>
            <w:r>
              <w:rPr>
                <w:rFonts w:ascii="Times New Roman" w:hAnsi="Times New Roman" w:eastAsia="Times New Roman"/>
                <w:b w:val="0"/>
                <w:sz w:val="16"/>
              </w:rPr>
              <w:t>0.941</w:t>
            </w:r>
          </w:p>
        </w:tc>
      </w:tr>
      <w:tr>
        <w:trPr>
          <w:cantSplit/>
        </w:trPr>
        <w:tc>
          <w:tcPr>
            <w:tcW w:type="dxa" w:w="883"/>
            <w:vMerge/>
          </w:tcPr>
          <w:p/>
        </w:tc>
        <w:tc>
          <w:tcPr>
            <w:tcW w:type="dxa" w:w="883"/>
          </w:tcPr>
          <w:p>
            <w:pPr>
              <w:jc w:val="left"/>
            </w:pPr>
            <w:r/>
            <w:r>
              <w:rPr>
                <w:rFonts w:ascii="Times New Roman" w:hAnsi="Times New Roman" w:eastAsia="Times New Roman"/>
                <w:b/>
                <w:sz w:val="16"/>
              </w:rPr>
              <w:t>SynGS (Ours)</w:t>
            </w:r>
          </w:p>
        </w:tc>
        <w:tc>
          <w:tcPr>
            <w:tcW w:type="dxa" w:w="883"/>
          </w:tcPr>
          <w:p>
            <w:pPr>
              <w:jc w:val="center"/>
            </w:pPr>
            <w:r/>
            <w:r>
              <w:rPr>
                <w:rFonts w:ascii="Times New Roman" w:hAnsi="Times New Roman" w:eastAsia="Times New Roman"/>
                <w:b w:val="0"/>
                <w:sz w:val="16"/>
              </w:rPr>
              <w:t>3.89</w:t>
            </w:r>
          </w:p>
        </w:tc>
        <w:tc>
          <w:tcPr>
            <w:tcW w:type="dxa" w:w="883"/>
          </w:tcPr>
          <w:p>
            <w:pPr>
              <w:jc w:val="center"/>
            </w:pPr>
            <w:r/>
            <w:r>
              <w:rPr>
                <w:rFonts w:ascii="Times New Roman" w:hAnsi="Times New Roman" w:eastAsia="Times New Roman"/>
                <w:b w:val="0"/>
                <w:sz w:val="16"/>
              </w:rPr>
              <w:t>25.91</w:t>
            </w:r>
          </w:p>
        </w:tc>
        <w:tc>
          <w:tcPr>
            <w:tcW w:type="dxa" w:w="883"/>
          </w:tcPr>
          <w:p>
            <w:pPr>
              <w:jc w:val="center"/>
            </w:pPr>
            <w:r/>
            <w:r>
              <w:rPr>
                <w:rFonts w:ascii="Times New Roman" w:hAnsi="Times New Roman" w:eastAsia="Times New Roman"/>
                <w:b w:val="0"/>
                <w:sz w:val="16"/>
              </w:rPr>
              <w:t>0.948</w:t>
            </w:r>
          </w:p>
        </w:tc>
        <w:tc>
          <w:tcPr>
            <w:tcW w:type="dxa" w:w="883"/>
          </w:tcPr>
          <w:p>
            <w:pPr>
              <w:jc w:val="center"/>
            </w:pPr>
            <w:r/>
            <w:r>
              <w:rPr>
                <w:rFonts w:ascii="Times New Roman" w:hAnsi="Times New Roman" w:eastAsia="Times New Roman"/>
                <w:b w:val="0"/>
                <w:sz w:val="16"/>
              </w:rPr>
              <w:t>3.43</w:t>
            </w:r>
          </w:p>
        </w:tc>
        <w:tc>
          <w:tcPr>
            <w:tcW w:type="dxa" w:w="883"/>
          </w:tcPr>
          <w:p>
            <w:pPr>
              <w:jc w:val="center"/>
            </w:pPr>
            <w:r/>
            <w:r>
              <w:rPr>
                <w:rFonts w:ascii="Times New Roman" w:hAnsi="Times New Roman" w:eastAsia="Times New Roman"/>
                <w:b w:val="0"/>
                <w:sz w:val="16"/>
              </w:rPr>
              <w:t>27.93</w:t>
            </w:r>
          </w:p>
        </w:tc>
        <w:tc>
          <w:tcPr>
            <w:tcW w:type="dxa" w:w="883"/>
          </w:tcPr>
          <w:p>
            <w:pPr>
              <w:jc w:val="center"/>
            </w:pPr>
            <w:r/>
            <w:r>
              <w:rPr>
                <w:rFonts w:ascii="Times New Roman" w:hAnsi="Times New Roman" w:eastAsia="Times New Roman"/>
                <w:b w:val="0"/>
                <w:sz w:val="16"/>
              </w:rPr>
              <w:t>0.953</w:t>
            </w:r>
          </w:p>
        </w:tc>
        <w:tc>
          <w:tcPr>
            <w:tcW w:type="dxa" w:w="883"/>
          </w:tcPr>
          <w:p>
            <w:pPr>
              <w:jc w:val="center"/>
            </w:pPr>
            <w:r/>
            <w:r>
              <w:rPr>
                <w:rFonts w:ascii="Times New Roman" w:hAnsi="Times New Roman" w:eastAsia="Times New Roman"/>
                <w:b w:val="0"/>
                <w:sz w:val="16"/>
              </w:rPr>
              <w:t>3.02</w:t>
            </w:r>
          </w:p>
        </w:tc>
        <w:tc>
          <w:tcPr>
            <w:tcW w:type="dxa" w:w="883"/>
          </w:tcPr>
          <w:p>
            <w:pPr>
              <w:jc w:val="center"/>
            </w:pPr>
            <w:r/>
            <w:r>
              <w:rPr>
                <w:rFonts w:ascii="Times New Roman" w:hAnsi="Times New Roman" w:eastAsia="Times New Roman"/>
                <w:b w:val="0"/>
                <w:sz w:val="16"/>
              </w:rPr>
              <w:t>29.21</w:t>
            </w:r>
          </w:p>
        </w:tc>
        <w:tc>
          <w:tcPr>
            <w:tcW w:type="dxa" w:w="883"/>
          </w:tcPr>
          <w:p>
            <w:pPr>
              <w:jc w:val="center"/>
            </w:pPr>
            <w:r/>
            <w:r>
              <w:rPr>
                <w:rFonts w:ascii="Times New Roman" w:hAnsi="Times New Roman" w:eastAsia="Times New Roman"/>
                <w:b w:val="0"/>
                <w:sz w:val="16"/>
              </w:rPr>
              <w:t>0.961</w:t>
            </w:r>
          </w:p>
        </w:tc>
      </w:tr>
    </w:tbl>
    <w:p>
      <w:pPr>
        <w:pageBreakBefore/>
        <w:pStyle w:val="SPIEtablecaption"/>
        <w:jc w:val="both"/>
        <w:keepNext/>
      </w:pPr>
      <w:r>
        <w:rPr>
          <w:rFonts w:ascii="Times New Roman" w:hAnsi="Times New Roman" w:eastAsia="Times New Roman"/>
          <w:sz w:val="18"/>
        </w:rPr>
        <w:t xml:space="preserve">Table 2. Performance comparisons of sparse-view synthesis on LLFF (4/6/9 views).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883"/>
        <w:gridCol w:w="883"/>
        <w:gridCol w:w="883"/>
        <w:gridCol w:w="883"/>
        <w:gridCol w:w="883"/>
        <w:gridCol w:w="883"/>
        <w:gridCol w:w="883"/>
        <w:gridCol w:w="883"/>
        <w:gridCol w:w="883"/>
        <w:gridCol w:w="883"/>
        <w:gridCol w:w="883"/>
      </w:tblGrid>
      <w:tr>
        <w:trPr>
          <w:cantSplit/>
        </w:trPr>
        <w:tc>
          <w:tcPr>
            <w:tcW w:type="dxa" w:w="883"/>
          </w:tcPr>
          <w:p>
            <w:pPr>
              <w:jc w:val="center"/>
            </w:pPr>
            <w:r/>
            <w:r>
              <w:rPr>
                <w:rFonts w:ascii="Times New Roman" w:hAnsi="Times New Roman" w:eastAsia="Times New Roman"/>
                <w:b w:val="0"/>
                <w:sz w:val="16"/>
              </w:rPr>
            </w:r>
          </w:p>
        </w:tc>
        <w:tc>
          <w:tcPr>
            <w:tcW w:type="dxa" w:w="883"/>
          </w:tcPr>
          <w:p>
            <w:pPr>
              <w:jc w:val="center"/>
            </w:pPr>
            <w:r/>
            <w:r>
              <w:rPr>
                <w:rFonts w:ascii="Times New Roman" w:hAnsi="Times New Roman" w:eastAsia="Times New Roman"/>
                <w:b/>
                <w:sz w:val="16"/>
              </w:rPr>
              <w:t>Methods</w:t>
            </w:r>
          </w:p>
        </w:tc>
        <w:tc>
          <w:tcPr>
            <w:tcW w:type="dxa" w:w="2649"/>
            <w:gridSpan w:val="3"/>
          </w:tcPr>
          <w:p>
            <w:pPr>
              <w:jc w:val="center"/>
            </w:pPr>
            <w:r/>
            <w:r>
              <w:rPr>
                <w:rFonts w:ascii="Times New Roman" w:hAnsi="Times New Roman" w:eastAsia="Times New Roman"/>
                <w:b/>
                <w:sz w:val="16"/>
              </w:rPr>
              <w:t>LLFF (4-view)</w:t>
            </w:r>
          </w:p>
        </w:tc>
        <w:tc>
          <w:tcPr>
            <w:tcW w:type="dxa" w:w="2649"/>
            <w:gridSpan w:val="3"/>
          </w:tcPr>
          <w:p>
            <w:pPr>
              <w:jc w:val="center"/>
            </w:pPr>
            <w:r/>
            <w:r>
              <w:rPr>
                <w:rFonts w:ascii="Times New Roman" w:hAnsi="Times New Roman" w:eastAsia="Times New Roman"/>
                <w:b/>
                <w:sz w:val="16"/>
              </w:rPr>
              <w:t>LLFF (6-view)</w:t>
            </w:r>
          </w:p>
        </w:tc>
        <w:tc>
          <w:tcPr>
            <w:tcW w:type="dxa" w:w="2649"/>
            <w:gridSpan w:val="3"/>
          </w:tcPr>
          <w:p>
            <w:pPr>
              <w:jc w:val="center"/>
            </w:pPr>
            <w:r/>
            <w:r>
              <w:rPr>
                <w:rFonts w:ascii="Times New Roman" w:hAnsi="Times New Roman" w:eastAsia="Times New Roman"/>
                <w:b/>
                <w:sz w:val="16"/>
              </w:rPr>
              <w:t>LLFF (9-view)</w:t>
            </w:r>
          </w:p>
        </w:tc>
      </w:tr>
      <w:tr>
        <w:trPr>
          <w:cantSplit/>
        </w:trPr>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r>
      <w:tr>
        <w:trPr>
          <w:cantSplit/>
        </w:trPr>
        <w:tc>
          <w:tcPr>
            <w:tcW w:type="dxa" w:w="883"/>
            <w:vMerge w:val="restart"/>
          </w:tcPr>
          <w:p>
            <w:pPr>
              <w:jc w:val="center"/>
            </w:pPr>
            <w:r/>
            <w:r>
              <w:rPr>
                <w:rFonts w:ascii="Times New Roman" w:hAnsi="Times New Roman" w:eastAsia="Times New Roman"/>
                <w:b/>
                <w:sz w:val="14"/>
              </w:rPr>
              <w:t>NeRF-based</w:t>
            </w:r>
          </w:p>
        </w:tc>
        <w:tc>
          <w:tcPr>
            <w:tcW w:type="dxa" w:w="883"/>
          </w:tcPr>
          <w:p>
            <w:pPr>
              <w:jc w:val="left"/>
            </w:pPr>
            <w:r/>
            <w:r>
              <w:rPr>
                <w:rFonts w:ascii="Times New Roman" w:hAnsi="Times New Roman" w:eastAsia="Times New Roman"/>
                <w:b w:val="0"/>
                <w:sz w:val="16"/>
              </w:rPr>
              <w:t>RegNeRF</w:t>
            </w:r>
          </w:p>
        </w:tc>
        <w:tc>
          <w:tcPr>
            <w:tcW w:type="dxa" w:w="883"/>
          </w:tcPr>
          <w:p>
            <w:pPr>
              <w:jc w:val="center"/>
            </w:pPr>
            <w:r/>
            <w:r>
              <w:rPr>
                <w:rFonts w:ascii="Times New Roman" w:hAnsi="Times New Roman" w:eastAsia="Times New Roman"/>
                <w:b w:val="0"/>
                <w:sz w:val="16"/>
              </w:rPr>
              <w:t>29.65</w:t>
            </w:r>
          </w:p>
        </w:tc>
        <w:tc>
          <w:tcPr>
            <w:tcW w:type="dxa" w:w="883"/>
          </w:tcPr>
          <w:p>
            <w:pPr>
              <w:jc w:val="center"/>
            </w:pPr>
            <w:r/>
            <w:r>
              <w:rPr>
                <w:rFonts w:ascii="Times New Roman" w:hAnsi="Times New Roman" w:eastAsia="Times New Roman"/>
                <w:b w:val="0"/>
                <w:sz w:val="16"/>
              </w:rPr>
              <w:t>18.55</w:t>
            </w:r>
          </w:p>
        </w:tc>
        <w:tc>
          <w:tcPr>
            <w:tcW w:type="dxa" w:w="883"/>
          </w:tcPr>
          <w:p>
            <w:pPr>
              <w:jc w:val="center"/>
            </w:pPr>
            <w:r/>
            <w:r>
              <w:rPr>
                <w:rFonts w:ascii="Times New Roman" w:hAnsi="Times New Roman" w:eastAsia="Times New Roman"/>
                <w:b w:val="0"/>
                <w:sz w:val="16"/>
              </w:rPr>
              <w:t>0.587</w:t>
            </w:r>
          </w:p>
        </w:tc>
        <w:tc>
          <w:tcPr>
            <w:tcW w:type="dxa" w:w="883"/>
          </w:tcPr>
          <w:p>
            <w:pPr>
              <w:jc w:val="center"/>
            </w:pPr>
            <w:r/>
            <w:r>
              <w:rPr>
                <w:rFonts w:ascii="Times New Roman" w:hAnsi="Times New Roman" w:eastAsia="Times New Roman"/>
                <w:b w:val="0"/>
                <w:sz w:val="16"/>
              </w:rPr>
              <w:t>22.61</w:t>
            </w:r>
          </w:p>
        </w:tc>
        <w:tc>
          <w:tcPr>
            <w:tcW w:type="dxa" w:w="883"/>
          </w:tcPr>
          <w:p>
            <w:pPr>
              <w:jc w:val="center"/>
            </w:pPr>
            <w:r/>
            <w:r>
              <w:rPr>
                <w:rFonts w:ascii="Times New Roman" w:hAnsi="Times New Roman" w:eastAsia="Times New Roman"/>
                <w:b w:val="0"/>
                <w:sz w:val="16"/>
              </w:rPr>
              <w:t>19.08</w:t>
            </w:r>
          </w:p>
        </w:tc>
        <w:tc>
          <w:tcPr>
            <w:tcW w:type="dxa" w:w="883"/>
          </w:tcPr>
          <w:p>
            <w:pPr>
              <w:jc w:val="center"/>
            </w:pPr>
            <w:r/>
            <w:r>
              <w:rPr>
                <w:rFonts w:ascii="Times New Roman" w:hAnsi="Times New Roman" w:eastAsia="Times New Roman"/>
                <w:b w:val="0"/>
                <w:sz w:val="16"/>
              </w:rPr>
              <w:t>0.760</w:t>
            </w:r>
          </w:p>
        </w:tc>
        <w:tc>
          <w:tcPr>
            <w:tcW w:type="dxa" w:w="883"/>
          </w:tcPr>
          <w:p>
            <w:pPr>
              <w:jc w:val="center"/>
            </w:pPr>
            <w:r/>
            <w:r>
              <w:rPr>
                <w:rFonts w:ascii="Times New Roman" w:hAnsi="Times New Roman" w:eastAsia="Times New Roman"/>
                <w:b w:val="0"/>
                <w:sz w:val="16"/>
              </w:rPr>
              <w:t>18.39</w:t>
            </w:r>
          </w:p>
        </w:tc>
        <w:tc>
          <w:tcPr>
            <w:tcW w:type="dxa" w:w="883"/>
          </w:tcPr>
          <w:p>
            <w:pPr>
              <w:jc w:val="center"/>
            </w:pPr>
            <w:r/>
            <w:r>
              <w:rPr>
                <w:rFonts w:ascii="Times New Roman" w:hAnsi="Times New Roman" w:eastAsia="Times New Roman"/>
                <w:b w:val="0"/>
                <w:sz w:val="16"/>
              </w:rPr>
              <w:t>22.86</w:t>
            </w:r>
          </w:p>
        </w:tc>
        <w:tc>
          <w:tcPr>
            <w:tcW w:type="dxa" w:w="883"/>
          </w:tcPr>
          <w:p>
            <w:pPr>
              <w:jc w:val="center"/>
            </w:pPr>
            <w:r/>
            <w:r>
              <w:rPr>
                <w:rFonts w:ascii="Times New Roman" w:hAnsi="Times New Roman" w:eastAsia="Times New Roman"/>
                <w:b w:val="0"/>
                <w:sz w:val="16"/>
              </w:rPr>
              <w:t>0.820</w:t>
            </w:r>
          </w:p>
        </w:tc>
      </w:tr>
      <w:tr>
        <w:trPr>
          <w:cantSplit/>
        </w:trPr>
        <w:tc>
          <w:tcPr>
            <w:tcW w:type="dxa" w:w="883"/>
            <w:vMerge/>
          </w:tcPr>
          <w:p/>
        </w:tc>
        <w:tc>
          <w:tcPr>
            <w:tcW w:type="dxa" w:w="883"/>
          </w:tcPr>
          <w:p>
            <w:pPr>
              <w:jc w:val="left"/>
            </w:pPr>
            <w:r/>
            <w:r>
              <w:rPr>
                <w:rFonts w:ascii="Times New Roman" w:hAnsi="Times New Roman" w:eastAsia="Times New Roman"/>
                <w:b w:val="0"/>
                <w:sz w:val="16"/>
              </w:rPr>
              <w:t>FreeNeRF</w:t>
            </w:r>
          </w:p>
        </w:tc>
        <w:tc>
          <w:tcPr>
            <w:tcW w:type="dxa" w:w="883"/>
          </w:tcPr>
          <w:p>
            <w:pPr>
              <w:jc w:val="center"/>
            </w:pPr>
            <w:r/>
            <w:r>
              <w:rPr>
                <w:rFonts w:ascii="Times New Roman" w:hAnsi="Times New Roman" w:eastAsia="Times New Roman"/>
                <w:b w:val="0"/>
                <w:sz w:val="16"/>
              </w:rPr>
              <w:t>30.85</w:t>
            </w:r>
          </w:p>
        </w:tc>
        <w:tc>
          <w:tcPr>
            <w:tcW w:type="dxa" w:w="883"/>
          </w:tcPr>
          <w:p>
            <w:pPr>
              <w:jc w:val="center"/>
            </w:pPr>
            <w:r/>
            <w:r>
              <w:rPr>
                <w:rFonts w:ascii="Times New Roman" w:hAnsi="Times New Roman" w:eastAsia="Times New Roman"/>
                <w:b w:val="0"/>
                <w:sz w:val="16"/>
              </w:rPr>
              <w:t>19.09</w:t>
            </w:r>
          </w:p>
        </w:tc>
        <w:tc>
          <w:tcPr>
            <w:tcW w:type="dxa" w:w="883"/>
          </w:tcPr>
          <w:p>
            <w:pPr>
              <w:jc w:val="center"/>
            </w:pPr>
            <w:r/>
            <w:r>
              <w:rPr>
                <w:rFonts w:ascii="Times New Roman" w:hAnsi="Times New Roman" w:eastAsia="Times New Roman"/>
                <w:b w:val="0"/>
                <w:sz w:val="16"/>
              </w:rPr>
              <w:t>0.624</w:t>
            </w:r>
          </w:p>
        </w:tc>
        <w:tc>
          <w:tcPr>
            <w:tcW w:type="dxa" w:w="883"/>
          </w:tcPr>
          <w:p>
            <w:pPr>
              <w:jc w:val="center"/>
            </w:pPr>
            <w:r/>
            <w:r>
              <w:rPr>
                <w:rFonts w:ascii="Times New Roman" w:hAnsi="Times New Roman" w:eastAsia="Times New Roman"/>
                <w:b w:val="0"/>
                <w:sz w:val="16"/>
              </w:rPr>
              <w:t>23.06</w:t>
            </w:r>
          </w:p>
        </w:tc>
        <w:tc>
          <w:tcPr>
            <w:tcW w:type="dxa" w:w="883"/>
          </w:tcPr>
          <w:p>
            <w:pPr>
              <w:jc w:val="center"/>
            </w:pPr>
            <w:r/>
            <w:r>
              <w:rPr>
                <w:rFonts w:ascii="Times New Roman" w:hAnsi="Times New Roman" w:eastAsia="Times New Roman"/>
                <w:b w:val="0"/>
                <w:sz w:val="16"/>
              </w:rPr>
              <w:t>19.81</w:t>
            </w:r>
          </w:p>
        </w:tc>
        <w:tc>
          <w:tcPr>
            <w:tcW w:type="dxa" w:w="883"/>
          </w:tcPr>
          <w:p>
            <w:pPr>
              <w:jc w:val="center"/>
            </w:pPr>
            <w:r/>
            <w:r>
              <w:rPr>
                <w:rFonts w:ascii="Times New Roman" w:hAnsi="Times New Roman" w:eastAsia="Times New Roman"/>
                <w:b w:val="0"/>
                <w:sz w:val="16"/>
              </w:rPr>
              <w:t>0.763</w:t>
            </w:r>
          </w:p>
        </w:tc>
        <w:tc>
          <w:tcPr>
            <w:tcW w:type="dxa" w:w="883"/>
          </w:tcPr>
          <w:p>
            <w:pPr>
              <w:jc w:val="center"/>
            </w:pPr>
            <w:r/>
            <w:r>
              <w:rPr>
                <w:rFonts w:ascii="Times New Roman" w:hAnsi="Times New Roman" w:eastAsia="Times New Roman"/>
                <w:b w:val="0"/>
                <w:sz w:val="16"/>
              </w:rPr>
              <w:t>17.94</w:t>
            </w:r>
          </w:p>
        </w:tc>
        <w:tc>
          <w:tcPr>
            <w:tcW w:type="dxa" w:w="883"/>
          </w:tcPr>
          <w:p>
            <w:pPr>
              <w:jc w:val="center"/>
            </w:pPr>
            <w:r/>
            <w:r>
              <w:rPr>
                <w:rFonts w:ascii="Times New Roman" w:hAnsi="Times New Roman" w:eastAsia="Times New Roman"/>
                <w:b w:val="0"/>
                <w:sz w:val="16"/>
              </w:rPr>
              <w:t>23.08</w:t>
            </w:r>
          </w:p>
        </w:tc>
        <w:tc>
          <w:tcPr>
            <w:tcW w:type="dxa" w:w="883"/>
          </w:tcPr>
          <w:p>
            <w:pPr>
              <w:jc w:val="center"/>
            </w:pPr>
            <w:r/>
            <w:r>
              <w:rPr>
                <w:rFonts w:ascii="Times New Roman" w:hAnsi="Times New Roman" w:eastAsia="Times New Roman"/>
                <w:b w:val="0"/>
                <w:sz w:val="16"/>
              </w:rPr>
              <w:t>0.823</w:t>
            </w:r>
          </w:p>
        </w:tc>
      </w:tr>
      <w:tr>
        <w:trPr>
          <w:cantSplit/>
        </w:trPr>
        <w:tc>
          <w:tcPr>
            <w:tcW w:type="dxa" w:w="883"/>
            <w:vMerge w:val="restart"/>
          </w:tcPr>
          <w:p>
            <w:pPr>
              <w:jc w:val="center"/>
            </w:pPr>
            <w:r/>
            <w:r>
              <w:rPr>
                <w:rFonts w:ascii="Times New Roman" w:hAnsi="Times New Roman" w:eastAsia="Times New Roman"/>
                <w:b/>
                <w:sz w:val="14"/>
              </w:rPr>
              <w:t>3DGS-based</w:t>
            </w:r>
          </w:p>
        </w:tc>
        <w:tc>
          <w:tcPr>
            <w:tcW w:type="dxa" w:w="883"/>
          </w:tcPr>
          <w:p>
            <w:pPr>
              <w:jc w:val="left"/>
            </w:pPr>
            <w:r/>
            <w:r>
              <w:rPr>
                <w:rFonts w:ascii="Times New Roman" w:hAnsi="Times New Roman" w:eastAsia="Times New Roman"/>
                <w:b w:val="0"/>
                <w:sz w:val="16"/>
              </w:rPr>
              <w:t>3DGS</w:t>
            </w:r>
          </w:p>
        </w:tc>
        <w:tc>
          <w:tcPr>
            <w:tcW w:type="dxa" w:w="883"/>
          </w:tcPr>
          <w:p>
            <w:pPr>
              <w:jc w:val="center"/>
            </w:pPr>
            <w:r/>
            <w:r>
              <w:rPr>
                <w:rFonts w:ascii="Times New Roman" w:hAnsi="Times New Roman" w:eastAsia="Times New Roman"/>
                <w:b w:val="0"/>
                <w:sz w:val="16"/>
              </w:rPr>
              <w:t>22.93</w:t>
            </w:r>
          </w:p>
        </w:tc>
        <w:tc>
          <w:tcPr>
            <w:tcW w:type="dxa" w:w="883"/>
          </w:tcPr>
          <w:p>
            <w:pPr>
              <w:jc w:val="center"/>
            </w:pPr>
            <w:r/>
            <w:r>
              <w:rPr>
                <w:rFonts w:ascii="Times New Roman" w:hAnsi="Times New Roman" w:eastAsia="Times New Roman"/>
                <w:b w:val="0"/>
                <w:sz w:val="16"/>
              </w:rPr>
              <w:t>19.32</w:t>
            </w:r>
          </w:p>
        </w:tc>
        <w:tc>
          <w:tcPr>
            <w:tcW w:type="dxa" w:w="883"/>
          </w:tcPr>
          <w:p>
            <w:pPr>
              <w:jc w:val="center"/>
            </w:pPr>
            <w:r/>
            <w:r>
              <w:rPr>
                <w:rFonts w:ascii="Times New Roman" w:hAnsi="Times New Roman" w:eastAsia="Times New Roman"/>
                <w:b w:val="0"/>
                <w:sz w:val="16"/>
              </w:rPr>
              <w:t>0.649</w:t>
            </w:r>
          </w:p>
        </w:tc>
        <w:tc>
          <w:tcPr>
            <w:tcW w:type="dxa" w:w="883"/>
          </w:tcPr>
          <w:p>
            <w:pPr>
              <w:jc w:val="center"/>
            </w:pPr>
            <w:r/>
            <w:r>
              <w:rPr>
                <w:rFonts w:ascii="Times New Roman" w:hAnsi="Times New Roman" w:eastAsia="Times New Roman"/>
                <w:b w:val="0"/>
                <w:sz w:val="16"/>
              </w:rPr>
              <w:t>13.45</w:t>
            </w:r>
          </w:p>
        </w:tc>
        <w:tc>
          <w:tcPr>
            <w:tcW w:type="dxa" w:w="883"/>
          </w:tcPr>
          <w:p>
            <w:pPr>
              <w:jc w:val="center"/>
            </w:pPr>
            <w:r/>
            <w:r>
              <w:rPr>
                <w:rFonts w:ascii="Times New Roman" w:hAnsi="Times New Roman" w:eastAsia="Times New Roman"/>
                <w:b w:val="0"/>
                <w:sz w:val="16"/>
              </w:rPr>
              <w:t>23.80</w:t>
            </w:r>
          </w:p>
        </w:tc>
        <w:tc>
          <w:tcPr>
            <w:tcW w:type="dxa" w:w="883"/>
          </w:tcPr>
          <w:p>
            <w:pPr>
              <w:jc w:val="center"/>
            </w:pPr>
            <w:r/>
            <w:r>
              <w:rPr>
                <w:rFonts w:ascii="Times New Roman" w:hAnsi="Times New Roman" w:eastAsia="Times New Roman"/>
                <w:b w:val="0"/>
                <w:sz w:val="16"/>
              </w:rPr>
              <w:t>0.814</w:t>
            </w:r>
          </w:p>
        </w:tc>
        <w:tc>
          <w:tcPr>
            <w:tcW w:type="dxa" w:w="883"/>
          </w:tcPr>
          <w:p>
            <w:pPr>
              <w:jc w:val="center"/>
            </w:pPr>
            <w:r/>
            <w:r>
              <w:rPr>
                <w:rFonts w:ascii="Times New Roman" w:hAnsi="Times New Roman" w:eastAsia="Times New Roman"/>
                <w:b w:val="0"/>
                <w:sz w:val="16"/>
              </w:rPr>
              <w:t>9.68</w:t>
            </w:r>
          </w:p>
        </w:tc>
        <w:tc>
          <w:tcPr>
            <w:tcW w:type="dxa" w:w="883"/>
          </w:tcPr>
          <w:p>
            <w:pPr>
              <w:jc w:val="center"/>
            </w:pPr>
            <w:r/>
            <w:r>
              <w:rPr>
                <w:rFonts w:ascii="Times New Roman" w:hAnsi="Times New Roman" w:eastAsia="Times New Roman"/>
                <w:b w:val="0"/>
                <w:sz w:val="16"/>
              </w:rPr>
              <w:t>25.44</w:t>
            </w:r>
          </w:p>
        </w:tc>
        <w:tc>
          <w:tcPr>
            <w:tcW w:type="dxa" w:w="883"/>
          </w:tcPr>
          <w:p>
            <w:pPr>
              <w:jc w:val="center"/>
            </w:pPr>
            <w:r/>
            <w:r>
              <w:rPr>
                <w:rFonts w:ascii="Times New Roman" w:hAnsi="Times New Roman" w:eastAsia="Times New Roman"/>
                <w:b w:val="0"/>
                <w:sz w:val="16"/>
              </w:rPr>
              <w:t>0.860</w:t>
            </w:r>
          </w:p>
        </w:tc>
      </w:tr>
      <w:tr>
        <w:trPr>
          <w:cantSplit/>
        </w:trPr>
        <w:tc>
          <w:tcPr>
            <w:tcW w:type="dxa" w:w="883"/>
            <w:vMerge/>
          </w:tcPr>
          <w:p/>
        </w:tc>
        <w:tc>
          <w:tcPr>
            <w:tcW w:type="dxa" w:w="883"/>
          </w:tcPr>
          <w:p>
            <w:pPr>
              <w:jc w:val="left"/>
            </w:pPr>
            <w:r/>
            <w:r>
              <w:rPr>
                <w:rFonts w:ascii="Times New Roman" w:hAnsi="Times New Roman" w:eastAsia="Times New Roman"/>
                <w:b w:val="0"/>
                <w:sz w:val="16"/>
              </w:rPr>
              <w:t>CoR-GS</w:t>
            </w:r>
          </w:p>
        </w:tc>
        <w:tc>
          <w:tcPr>
            <w:tcW w:type="dxa" w:w="883"/>
          </w:tcPr>
          <w:p>
            <w:pPr>
              <w:jc w:val="center"/>
            </w:pPr>
            <w:r/>
            <w:r>
              <w:rPr>
                <w:rFonts w:ascii="Times New Roman" w:hAnsi="Times New Roman" w:eastAsia="Times New Roman"/>
                <w:b w:val="0"/>
                <w:sz w:val="16"/>
              </w:rPr>
              <w:t>19.66</w:t>
            </w:r>
          </w:p>
        </w:tc>
        <w:tc>
          <w:tcPr>
            <w:tcW w:type="dxa" w:w="883"/>
          </w:tcPr>
          <w:p>
            <w:pPr>
              <w:jc w:val="center"/>
            </w:pPr>
            <w:r/>
            <w:r>
              <w:rPr>
                <w:rFonts w:ascii="Times New Roman" w:hAnsi="Times New Roman" w:eastAsia="Times New Roman"/>
                <w:b w:val="0"/>
                <w:sz w:val="16"/>
              </w:rPr>
              <w:t>20.45</w:t>
            </w:r>
          </w:p>
        </w:tc>
        <w:tc>
          <w:tcPr>
            <w:tcW w:type="dxa" w:w="883"/>
          </w:tcPr>
          <w:p>
            <w:pPr>
              <w:jc w:val="center"/>
            </w:pPr>
            <w:r/>
            <w:r>
              <w:rPr>
                <w:rFonts w:ascii="Times New Roman" w:hAnsi="Times New Roman" w:eastAsia="Times New Roman"/>
                <w:b w:val="0"/>
                <w:sz w:val="16"/>
              </w:rPr>
              <w:t>0.696</w:t>
            </w:r>
          </w:p>
        </w:tc>
        <w:tc>
          <w:tcPr>
            <w:tcW w:type="dxa" w:w="883"/>
          </w:tcPr>
          <w:p>
            <w:pPr>
              <w:jc w:val="center"/>
            </w:pPr>
            <w:r/>
            <w:r>
              <w:rPr>
                <w:rFonts w:ascii="Times New Roman" w:hAnsi="Times New Roman" w:eastAsia="Times New Roman"/>
                <w:b w:val="0"/>
                <w:sz w:val="16"/>
              </w:rPr>
              <w:t>12.53</w:t>
            </w:r>
          </w:p>
        </w:tc>
        <w:tc>
          <w:tcPr>
            <w:tcW w:type="dxa" w:w="883"/>
          </w:tcPr>
          <w:p>
            <w:pPr>
              <w:jc w:val="center"/>
            </w:pPr>
            <w:r/>
            <w:r>
              <w:rPr>
                <w:rFonts w:ascii="Times New Roman" w:hAnsi="Times New Roman" w:eastAsia="Times New Roman"/>
                <w:b w:val="0"/>
                <w:sz w:val="16"/>
              </w:rPr>
              <w:t>23.87</w:t>
            </w:r>
          </w:p>
        </w:tc>
        <w:tc>
          <w:tcPr>
            <w:tcW w:type="dxa" w:w="883"/>
          </w:tcPr>
          <w:p>
            <w:pPr>
              <w:jc w:val="center"/>
            </w:pPr>
            <w:r/>
            <w:r>
              <w:rPr>
                <w:rFonts w:ascii="Times New Roman" w:hAnsi="Times New Roman" w:eastAsia="Times New Roman"/>
                <w:b w:val="0"/>
                <w:sz w:val="16"/>
              </w:rPr>
              <w:t>0.840</w:t>
            </w:r>
          </w:p>
        </w:tc>
        <w:tc>
          <w:tcPr>
            <w:tcW w:type="dxa" w:w="883"/>
          </w:tcPr>
          <w:p>
            <w:pPr>
              <w:jc w:val="center"/>
            </w:pPr>
            <w:r/>
            <w:r>
              <w:rPr>
                <w:rFonts w:ascii="Times New Roman" w:hAnsi="Times New Roman" w:eastAsia="Times New Roman"/>
                <w:b w:val="0"/>
                <w:sz w:val="16"/>
              </w:rPr>
              <w:t>8.94</w:t>
            </w:r>
          </w:p>
        </w:tc>
        <w:tc>
          <w:tcPr>
            <w:tcW w:type="dxa" w:w="883"/>
          </w:tcPr>
          <w:p>
            <w:pPr>
              <w:jc w:val="center"/>
            </w:pPr>
            <w:r/>
            <w:r>
              <w:rPr>
                <w:rFonts w:ascii="Times New Roman" w:hAnsi="Times New Roman" w:eastAsia="Times New Roman"/>
                <w:b w:val="0"/>
                <w:sz w:val="16"/>
              </w:rPr>
              <w:t>26.70</w:t>
            </w:r>
          </w:p>
        </w:tc>
        <w:tc>
          <w:tcPr>
            <w:tcW w:type="dxa" w:w="883"/>
          </w:tcPr>
          <w:p>
            <w:pPr>
              <w:jc w:val="center"/>
            </w:pPr>
            <w:r/>
            <w:r>
              <w:rPr>
                <w:rFonts w:ascii="Times New Roman" w:hAnsi="Times New Roman" w:eastAsia="Times New Roman"/>
                <w:b w:val="0"/>
                <w:sz w:val="16"/>
              </w:rPr>
              <w:t>0.874</w:t>
            </w:r>
          </w:p>
        </w:tc>
      </w:tr>
      <w:tr>
        <w:trPr>
          <w:cantSplit/>
        </w:trPr>
        <w:tc>
          <w:tcPr>
            <w:tcW w:type="dxa" w:w="883"/>
            <w:vMerge/>
          </w:tcPr>
          <w:p/>
        </w:tc>
        <w:tc>
          <w:tcPr>
            <w:tcW w:type="dxa" w:w="883"/>
          </w:tcPr>
          <w:p>
            <w:pPr>
              <w:jc w:val="left"/>
            </w:pPr>
            <w:r/>
            <w:r>
              <w:rPr>
                <w:rFonts w:ascii="Times New Roman" w:hAnsi="Times New Roman" w:eastAsia="Times New Roman"/>
                <w:b w:val="0"/>
                <w:sz w:val="16"/>
              </w:rPr>
              <w:t>DropGaussian</w:t>
            </w:r>
          </w:p>
        </w:tc>
        <w:tc>
          <w:tcPr>
            <w:tcW w:type="dxa" w:w="883"/>
          </w:tcPr>
          <w:p>
            <w:pPr>
              <w:jc w:val="center"/>
            </w:pPr>
            <w:r/>
            <w:r>
              <w:rPr>
                <w:rFonts w:ascii="Times New Roman" w:hAnsi="Times New Roman" w:eastAsia="Times New Roman"/>
                <w:b w:val="0"/>
                <w:sz w:val="16"/>
              </w:rPr>
              <w:t>21.93</w:t>
            </w:r>
          </w:p>
        </w:tc>
        <w:tc>
          <w:tcPr>
            <w:tcW w:type="dxa" w:w="883"/>
          </w:tcPr>
          <w:p>
            <w:pPr>
              <w:jc w:val="center"/>
            </w:pPr>
            <w:r/>
            <w:r>
              <w:rPr>
                <w:rFonts w:ascii="Times New Roman" w:hAnsi="Times New Roman" w:eastAsia="Times New Roman"/>
                <w:b w:val="0"/>
                <w:sz w:val="16"/>
              </w:rPr>
              <w:t>19.80</w:t>
            </w:r>
          </w:p>
        </w:tc>
        <w:tc>
          <w:tcPr>
            <w:tcW w:type="dxa" w:w="883"/>
          </w:tcPr>
          <w:p>
            <w:pPr>
              <w:jc w:val="center"/>
            </w:pPr>
            <w:r/>
            <w:r>
              <w:rPr>
                <w:rFonts w:ascii="Times New Roman" w:hAnsi="Times New Roman" w:eastAsia="Times New Roman"/>
                <w:b w:val="0"/>
                <w:sz w:val="16"/>
              </w:rPr>
              <w:t>0.621</w:t>
            </w:r>
          </w:p>
        </w:tc>
        <w:tc>
          <w:tcPr>
            <w:tcW w:type="dxa" w:w="883"/>
          </w:tcPr>
          <w:p>
            <w:pPr>
              <w:jc w:val="center"/>
            </w:pPr>
            <w:r/>
            <w:r>
              <w:rPr>
                <w:rFonts w:ascii="Times New Roman" w:hAnsi="Times New Roman" w:eastAsia="Times New Roman"/>
                <w:b w:val="0"/>
                <w:sz w:val="16"/>
              </w:rPr>
              <w:t>13.79</w:t>
            </w:r>
          </w:p>
        </w:tc>
        <w:tc>
          <w:tcPr>
            <w:tcW w:type="dxa" w:w="883"/>
          </w:tcPr>
          <w:p>
            <w:pPr>
              <w:jc w:val="center"/>
            </w:pPr>
            <w:r/>
            <w:r>
              <w:rPr>
                <w:rFonts w:ascii="Times New Roman" w:hAnsi="Times New Roman" w:eastAsia="Times New Roman"/>
                <w:b w:val="0"/>
                <w:sz w:val="16"/>
              </w:rPr>
              <w:t>23.41</w:t>
            </w:r>
          </w:p>
        </w:tc>
        <w:tc>
          <w:tcPr>
            <w:tcW w:type="dxa" w:w="883"/>
          </w:tcPr>
          <w:p>
            <w:pPr>
              <w:jc w:val="center"/>
            </w:pPr>
            <w:r/>
            <w:r>
              <w:rPr>
                <w:rFonts w:ascii="Times New Roman" w:hAnsi="Times New Roman" w:eastAsia="Times New Roman"/>
                <w:b w:val="0"/>
                <w:sz w:val="16"/>
              </w:rPr>
              <w:t>0.803</w:t>
            </w:r>
          </w:p>
        </w:tc>
        <w:tc>
          <w:tcPr>
            <w:tcW w:type="dxa" w:w="883"/>
          </w:tcPr>
          <w:p>
            <w:pPr>
              <w:jc w:val="center"/>
            </w:pPr>
            <w:r/>
            <w:r>
              <w:rPr>
                <w:rFonts w:ascii="Times New Roman" w:hAnsi="Times New Roman" w:eastAsia="Times New Roman"/>
                <w:b w:val="0"/>
                <w:sz w:val="16"/>
              </w:rPr>
              <w:t>9.40</w:t>
            </w:r>
          </w:p>
        </w:tc>
        <w:tc>
          <w:tcPr>
            <w:tcW w:type="dxa" w:w="883"/>
          </w:tcPr>
          <w:p>
            <w:pPr>
              <w:jc w:val="center"/>
            </w:pPr>
            <w:r/>
            <w:r>
              <w:rPr>
                <w:rFonts w:ascii="Times New Roman" w:hAnsi="Times New Roman" w:eastAsia="Times New Roman"/>
                <w:b w:val="0"/>
                <w:sz w:val="16"/>
              </w:rPr>
              <w:t>25.87</w:t>
            </w:r>
          </w:p>
        </w:tc>
        <w:tc>
          <w:tcPr>
            <w:tcW w:type="dxa" w:w="883"/>
          </w:tcPr>
          <w:p>
            <w:pPr>
              <w:jc w:val="center"/>
            </w:pPr>
            <w:r/>
            <w:r>
              <w:rPr>
                <w:rFonts w:ascii="Times New Roman" w:hAnsi="Times New Roman" w:eastAsia="Times New Roman"/>
                <w:b w:val="0"/>
                <w:sz w:val="16"/>
              </w:rPr>
              <w:t>0.868</w:t>
            </w:r>
          </w:p>
        </w:tc>
      </w:tr>
      <w:tr>
        <w:trPr>
          <w:cantSplit/>
        </w:trPr>
        <w:tc>
          <w:tcPr>
            <w:tcW w:type="dxa" w:w="883"/>
            <w:vMerge/>
          </w:tcPr>
          <w:p/>
        </w:tc>
        <w:tc>
          <w:tcPr>
            <w:tcW w:type="dxa" w:w="883"/>
          </w:tcPr>
          <w:p>
            <w:pPr>
              <w:jc w:val="left"/>
            </w:pPr>
            <w:r/>
            <w:r>
              <w:rPr>
                <w:rFonts w:ascii="Times New Roman" w:hAnsi="Times New Roman" w:eastAsia="Times New Roman"/>
                <w:b w:val="0"/>
                <w:sz w:val="16"/>
              </w:rPr>
              <w:t>D²GS</w:t>
            </w:r>
          </w:p>
        </w:tc>
        <w:tc>
          <w:tcPr>
            <w:tcW w:type="dxa" w:w="883"/>
          </w:tcPr>
          <w:p>
            <w:pPr>
              <w:jc w:val="center"/>
            </w:pPr>
            <w:r/>
            <w:r>
              <w:rPr>
                <w:rFonts w:ascii="Times New Roman" w:hAnsi="Times New Roman" w:eastAsia="Times New Roman"/>
                <w:b w:val="0"/>
                <w:sz w:val="16"/>
              </w:rPr>
              <w:t>17.98</w:t>
            </w:r>
          </w:p>
        </w:tc>
        <w:tc>
          <w:tcPr>
            <w:tcW w:type="dxa" w:w="883"/>
          </w:tcPr>
          <w:p>
            <w:pPr>
              <w:jc w:val="center"/>
            </w:pPr>
            <w:r/>
            <w:r>
              <w:rPr>
                <w:rFonts w:ascii="Times New Roman" w:hAnsi="Times New Roman" w:eastAsia="Times New Roman"/>
                <w:b w:val="0"/>
                <w:sz w:val="16"/>
              </w:rPr>
              <w:t>22.35</w:t>
            </w:r>
          </w:p>
        </w:tc>
        <w:tc>
          <w:tcPr>
            <w:tcW w:type="dxa" w:w="883"/>
          </w:tcPr>
          <w:p>
            <w:pPr>
              <w:jc w:val="center"/>
            </w:pPr>
            <w:r/>
            <w:r>
              <w:rPr>
                <w:rFonts w:ascii="Times New Roman" w:hAnsi="Times New Roman" w:eastAsia="Times New Roman"/>
                <w:b w:val="0"/>
                <w:sz w:val="16"/>
              </w:rPr>
              <w:t>0.746</w:t>
            </w:r>
          </w:p>
        </w:tc>
        <w:tc>
          <w:tcPr>
            <w:tcW w:type="dxa" w:w="883"/>
          </w:tcPr>
          <w:p>
            <w:pPr>
              <w:jc w:val="center"/>
            </w:pPr>
            <w:r/>
            <w:r>
              <w:rPr>
                <w:rFonts w:ascii="Times New Roman" w:hAnsi="Times New Roman" w:eastAsia="Times New Roman"/>
                <w:b w:val="0"/>
                <w:sz w:val="16"/>
              </w:rPr>
              <w:t>13.85</w:t>
            </w:r>
          </w:p>
        </w:tc>
        <w:tc>
          <w:tcPr>
            <w:tcW w:type="dxa" w:w="883"/>
          </w:tcPr>
          <w:p>
            <w:pPr>
              <w:jc w:val="center"/>
            </w:pPr>
            <w:r/>
            <w:r>
              <w:rPr>
                <w:rFonts w:ascii="Times New Roman" w:hAnsi="Times New Roman" w:eastAsia="Times New Roman"/>
                <w:b w:val="0"/>
                <w:sz w:val="16"/>
              </w:rPr>
              <w:t>23.91</w:t>
            </w:r>
          </w:p>
        </w:tc>
        <w:tc>
          <w:tcPr>
            <w:tcW w:type="dxa" w:w="883"/>
          </w:tcPr>
          <w:p>
            <w:pPr>
              <w:jc w:val="center"/>
            </w:pPr>
            <w:r/>
            <w:r>
              <w:rPr>
                <w:rFonts w:ascii="Times New Roman" w:hAnsi="Times New Roman" w:eastAsia="Times New Roman"/>
                <w:b w:val="0"/>
                <w:sz w:val="16"/>
              </w:rPr>
              <w:t>0.846</w:t>
            </w:r>
          </w:p>
        </w:tc>
        <w:tc>
          <w:tcPr>
            <w:tcW w:type="dxa" w:w="883"/>
          </w:tcPr>
          <w:p>
            <w:pPr>
              <w:jc w:val="center"/>
            </w:pPr>
            <w:r/>
            <w:r>
              <w:rPr>
                <w:rFonts w:ascii="Times New Roman" w:hAnsi="Times New Roman" w:eastAsia="Times New Roman"/>
                <w:b w:val="0"/>
                <w:sz w:val="16"/>
              </w:rPr>
              <w:t>8.91</w:t>
            </w:r>
          </w:p>
        </w:tc>
        <w:tc>
          <w:tcPr>
            <w:tcW w:type="dxa" w:w="883"/>
          </w:tcPr>
          <w:p>
            <w:pPr>
              <w:jc w:val="center"/>
            </w:pPr>
            <w:r/>
            <w:r>
              <w:rPr>
                <w:rFonts w:ascii="Times New Roman" w:hAnsi="Times New Roman" w:eastAsia="Times New Roman"/>
                <w:b w:val="0"/>
                <w:sz w:val="16"/>
              </w:rPr>
              <w:t>26.80</w:t>
            </w:r>
          </w:p>
        </w:tc>
        <w:tc>
          <w:tcPr>
            <w:tcW w:type="dxa" w:w="883"/>
          </w:tcPr>
          <w:p>
            <w:pPr>
              <w:jc w:val="center"/>
            </w:pPr>
            <w:r/>
            <w:r>
              <w:rPr>
                <w:rFonts w:ascii="Times New Roman" w:hAnsi="Times New Roman" w:eastAsia="Times New Roman"/>
                <w:b w:val="0"/>
                <w:sz w:val="16"/>
              </w:rPr>
              <w:t>0.871</w:t>
            </w:r>
          </w:p>
        </w:tc>
      </w:tr>
      <w:tr>
        <w:trPr>
          <w:cantSplit/>
        </w:trPr>
        <w:tc>
          <w:tcPr>
            <w:tcW w:type="dxa" w:w="883"/>
            <w:vMerge/>
          </w:tcPr>
          <w:p/>
        </w:tc>
        <w:tc>
          <w:tcPr>
            <w:tcW w:type="dxa" w:w="883"/>
          </w:tcPr>
          <w:p>
            <w:pPr>
              <w:jc w:val="left"/>
            </w:pPr>
            <w:r/>
            <w:r>
              <w:rPr>
                <w:rFonts w:ascii="Times New Roman" w:hAnsi="Times New Roman" w:eastAsia="Times New Roman"/>
                <w:b/>
                <w:sz w:val="16"/>
              </w:rPr>
              <w:t>SynGS (Ours)</w:t>
            </w:r>
          </w:p>
        </w:tc>
        <w:tc>
          <w:tcPr>
            <w:tcW w:type="dxa" w:w="883"/>
          </w:tcPr>
          <w:p>
            <w:pPr>
              <w:jc w:val="center"/>
            </w:pPr>
            <w:r/>
            <w:r>
              <w:rPr>
                <w:rFonts w:ascii="Times New Roman" w:hAnsi="Times New Roman" w:eastAsia="Times New Roman"/>
                <w:b w:val="0"/>
                <w:sz w:val="16"/>
              </w:rPr>
              <w:t>16.92</w:t>
            </w:r>
          </w:p>
        </w:tc>
        <w:tc>
          <w:tcPr>
            <w:tcW w:type="dxa" w:w="883"/>
          </w:tcPr>
          <w:p>
            <w:pPr>
              <w:jc w:val="center"/>
            </w:pPr>
            <w:r/>
            <w:r>
              <w:rPr>
                <w:rFonts w:ascii="Times New Roman" w:hAnsi="Times New Roman" w:eastAsia="Times New Roman"/>
                <w:b w:val="0"/>
                <w:sz w:val="16"/>
              </w:rPr>
              <w:t>23.92</w:t>
            </w:r>
          </w:p>
        </w:tc>
        <w:tc>
          <w:tcPr>
            <w:tcW w:type="dxa" w:w="883"/>
          </w:tcPr>
          <w:p>
            <w:pPr>
              <w:jc w:val="center"/>
            </w:pPr>
            <w:r/>
            <w:r>
              <w:rPr>
                <w:rFonts w:ascii="Times New Roman" w:hAnsi="Times New Roman" w:eastAsia="Times New Roman"/>
                <w:b w:val="0"/>
                <w:sz w:val="16"/>
              </w:rPr>
              <w:t>0.762</w:t>
            </w:r>
          </w:p>
        </w:tc>
        <w:tc>
          <w:tcPr>
            <w:tcW w:type="dxa" w:w="883"/>
          </w:tcPr>
          <w:p>
            <w:pPr>
              <w:jc w:val="center"/>
            </w:pPr>
            <w:r/>
            <w:r>
              <w:rPr>
                <w:rFonts w:ascii="Times New Roman" w:hAnsi="Times New Roman" w:eastAsia="Times New Roman"/>
                <w:b w:val="0"/>
                <w:sz w:val="16"/>
              </w:rPr>
              <w:t>12.54</w:t>
            </w:r>
          </w:p>
        </w:tc>
        <w:tc>
          <w:tcPr>
            <w:tcW w:type="dxa" w:w="883"/>
          </w:tcPr>
          <w:p>
            <w:pPr>
              <w:jc w:val="center"/>
            </w:pPr>
            <w:r/>
            <w:r>
              <w:rPr>
                <w:rFonts w:ascii="Times New Roman" w:hAnsi="Times New Roman" w:eastAsia="Times New Roman"/>
                <w:b w:val="0"/>
                <w:sz w:val="16"/>
              </w:rPr>
              <w:t>25.17</w:t>
            </w:r>
          </w:p>
        </w:tc>
        <w:tc>
          <w:tcPr>
            <w:tcW w:type="dxa" w:w="883"/>
          </w:tcPr>
          <w:p>
            <w:pPr>
              <w:jc w:val="center"/>
            </w:pPr>
            <w:r/>
            <w:r>
              <w:rPr>
                <w:rFonts w:ascii="Times New Roman" w:hAnsi="Times New Roman" w:eastAsia="Times New Roman"/>
                <w:b w:val="0"/>
                <w:sz w:val="16"/>
              </w:rPr>
              <w:t>0.848</w:t>
            </w:r>
          </w:p>
        </w:tc>
        <w:tc>
          <w:tcPr>
            <w:tcW w:type="dxa" w:w="883"/>
          </w:tcPr>
          <w:p>
            <w:pPr>
              <w:jc w:val="center"/>
            </w:pPr>
            <w:r/>
            <w:r>
              <w:rPr>
                <w:rFonts w:ascii="Times New Roman" w:hAnsi="Times New Roman" w:eastAsia="Times New Roman"/>
                <w:b w:val="0"/>
                <w:sz w:val="16"/>
              </w:rPr>
              <w:t>8.96</w:t>
            </w:r>
          </w:p>
        </w:tc>
        <w:tc>
          <w:tcPr>
            <w:tcW w:type="dxa" w:w="883"/>
          </w:tcPr>
          <w:p>
            <w:pPr>
              <w:jc w:val="center"/>
            </w:pPr>
            <w:r/>
            <w:r>
              <w:rPr>
                <w:rFonts w:ascii="Times New Roman" w:hAnsi="Times New Roman" w:eastAsia="Times New Roman"/>
                <w:b w:val="0"/>
                <w:sz w:val="16"/>
              </w:rPr>
              <w:t>26.71</w:t>
            </w:r>
          </w:p>
        </w:tc>
        <w:tc>
          <w:tcPr>
            <w:tcW w:type="dxa" w:w="883"/>
          </w:tcPr>
          <w:p>
            <w:pPr>
              <w:jc w:val="center"/>
            </w:pPr>
            <w:r/>
            <w:r>
              <w:rPr>
                <w:rFonts w:ascii="Times New Roman" w:hAnsi="Times New Roman" w:eastAsia="Times New Roman"/>
                <w:b w:val="0"/>
                <w:sz w:val="16"/>
              </w:rPr>
              <w:t>0.871</w:t>
            </w:r>
          </w:p>
        </w:tc>
      </w:tr>
    </w:tbl>
    <w:p>
      <w:pPr>
        <w:pStyle w:val="SPIEbodytext"/>
        <w:jc w:val="both"/>
      </w:pPr>
      <w:r>
        <w:rPr>
          <w:rFonts w:ascii="Times New Roman" w:hAnsi="Times New Roman" w:eastAsia="Times New Roman"/>
          <w:b/>
          <w:bCs/>
          <w:sz w:val="20"/>
        </w:rPr>
        <w:t xml:space="preserve">Mip-NeRF 360 and LLFF.</w:t>
      </w:r>
      <w:r>
        <w:rPr>
          <w:rFonts w:ascii="Times New Roman" w:hAnsi="Times New Roman" w:eastAsia="Times New Roman"/>
          <w:sz w:val="20"/>
        </w:rPr>
        <w:t xml:space="preserve"> </w:t>
      </w:r>
      <w:r>
        <w:rPr>
          <w:rFonts w:ascii="Times New Roman" w:hAnsi="Times New Roman" w:eastAsia="Times New Roman"/>
          <w:sz w:val="20"/>
        </w:rPr>
        <w:t xml:space="preserve">Table 1 reports the results on Mip-NeRF 360 under the 4-, 6-, and 9-view settings. On Mip-NeRF 360, SynGS achieves higher PSNR and SSIM values relative to the evaluated baseline methods under the 4-, 6-, and 9-view configurations, with a more noticeable PSNR difference in the 4-view case: 25.91 dB, compared with 22.35 dB for D²GS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[19]</w:t>
      </w:r>
      <w:r>
        <w:rPr>
          <w:rFonts w:ascii="Times New Roman" w:hAnsi="Times New Roman" w:eastAsia="Times New Roman"/>
          <w:sz w:val="20"/>
        </w:rPr>
        <w:t xml:space="preserve">. However, D²GS obtains lower LPIPS values across the three settings, indicating an advantage in perceptual similarity. Table 2 shows a similar trend. With four views, SynGS achieves favorable results in PSNR, SSIM, and LPIPS; in the six-view LLFF setting, SynGS records higher PSNR and SSIM values than the baseline approaches included in the comparison, with LPIPS close to the lowest reported value. In the nine-view LLFF configuration, the performance differences among the evaluated 3DGS-based approaches are relatively limited. Compared with SynGS, D²GS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[19]</w:t>
      </w:r>
      <w:r>
        <w:rPr>
          <w:rFonts w:ascii="Times New Roman" w:hAnsi="Times New Roman" w:eastAsia="Times New Roman"/>
          <w:sz w:val="20"/>
        </w:rPr>
        <w:t xml:space="preserve"> </w:t>
      </w:r>
      <w:r>
        <w:rPr>
          <w:rFonts w:ascii="Times New Roman" w:hAnsi="Times New Roman" w:eastAsia="Times New Roman"/>
          <w:sz w:val="20"/>
        </w:rPr>
        <w:t xml:space="preserve">reports a slightly higher PSNR and a lower LPIPS, whereas CoR-GS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[12]</w:t>
      </w:r>
      <w:r>
        <w:rPr>
          <w:rFonts w:ascii="Times New Roman" w:hAnsi="Times New Roman" w:eastAsia="Times New Roman"/>
          <w:sz w:val="20"/>
        </w:rPr>
        <w:t xml:space="preserve"> </w:t>
      </w:r>
      <w:r>
        <w:rPr>
          <w:rFonts w:ascii="Times New Roman" w:hAnsi="Times New Roman" w:eastAsia="Times New Roman"/>
          <w:sz w:val="20"/>
        </w:rPr>
        <w:t xml:space="preserve">achieves a marginally higher SSIM. Overall, SynGS shows more pronounced improvements in the four- and six-view settings, suggesting that the proposed framework may be particularly beneficial when the geometric information available from the input views is severely limited.</w:t>
      </w:r>
    </w:p>
    <w:p>
      <w:pPr>
        <w:pStyle w:val="SPIEbodytext"/>
        <w:jc w:val="both"/>
      </w:pPr>
      <w:r>
        <w:rPr>
          <w:rFonts w:ascii="Times New Roman" w:hAnsi="Times New Roman" w:eastAsia="Times New Roman"/>
          <w:b/>
          <w:bCs/>
          <w:sz w:val="20"/>
        </w:rPr>
        <w:t xml:space="preserve">Qualitative Results.</w:t>
      </w:r>
      <w:r>
        <w:rPr>
          <w:rFonts w:ascii="Times New Roman" w:hAnsi="Times New Roman" w:eastAsia="Times New Roman"/>
          <w:sz w:val="20"/>
        </w:rPr>
        <w:t xml:space="preserve"> </w:t>
      </w:r>
      <w:r>
        <w:rPr>
          <w:rFonts w:ascii="Times New Roman" w:hAnsi="Times New Roman" w:eastAsia="Times New Roman"/>
          <w:sz w:val="20"/>
        </w:rPr>
        <w:t xml:space="preserve">Figure 3 shows the 4-view comparison on Mip-NeRF 360. SynGS produces fewer floating artifacts and more complete object boundaries, and preserves finer structures where baselines show broken contours or missing details.</w:t>
      </w:r>
    </w:p>
    <w:p>
      <w:pPr>
        <w:pStyle w:val="SPIEbodytext"/>
        <w:jc w:val="center"/>
      </w:pPr>
      <w:r>
        <w:rPr>
          <w:rFonts w:ascii="Times New Roman" w:hAnsi="Times New Roman" w:eastAsia="Times New Roman"/>
          <w:sz w:val="20"/>
        </w:rPr>
        <w:drawing>
          <wp:inline>
            <wp:extent cx="5940000" cy="2029746"/>
            <wp:effectExtent b="0" l="0" r="0" t="0"/>
            <wp:docPr descr="Figure 3. Qualitative comparison under the 4-view sparse-input setting on Mip-NeRF 360. SynGS produces fewer floating artifacts and more complete structural boundaries than the compared methods." title="" id="47" name="Picture"/>
            <a:graphic>
              <a:graphicData uri="http://schemas.openxmlformats.org/drawingml/2006/picture">
                <pic:pic>
                  <pic:nvPicPr>
                    <pic:cNvPr descr="/Users/zhihu/Desktop/CUC/EI会议/CVMP2026_3DGS/figures/word_export/qualitative.png" id="48" name="Picture"/>
                    <pic:cNvPicPr>
                      <a:picLocks noChangeArrowheads="1" noChangeAspect="1"/>
                    </pic:cNvPicPr>
                  </pic:nvPicPr>
                  <pic:blipFill>
                    <a:blip r:embed="rId46"/>
                    <a:stretch>
                      <a:fillRect/>
                    </a:stretch>
                  </pic:blipFill>
                  <pic:spPr bwMode="auto">
                    <a:xfrm>
                      <a:off x="0" y="0"/>
                      <a:ext cx="5940000" cy="202974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3. Qualitative comparison under the 4-view sparse-input setting on Mip-NeRF 360. SynGS produces fewer floating artifacts and more complete structural boundaries than the compared methods.</w:t>
      </w:r>
    </w:p>
    <w:bookmarkEnd w:id="49"/>
    <w:bookmarkStart w:id="50" w:name="_5030b34ff2ac2b18037d46fbc3c88a9b438a09f"/>
    <w:p>
      <w:pPr>
        <w:pStyle w:val="2"/>
      </w:pPr>
      <w:r>
        <w:rPr>
          <w:rFonts w:ascii="Times New Roman" w:hAnsi="Times New Roman" w:eastAsia="Times New Roman"/>
          <w:b/>
          <w:sz w:val="20"/>
        </w:rPr>
        <w:t xml:space="preserve">Ablation Study</w:t>
      </w:r>
    </w:p>
    <w:p>
      <w:pPr>
        <w:pStyle w:val="SPIEtablecaption"/>
        <w:jc w:val="both"/>
      </w:pPr>
      <w:r>
        <w:rPr>
          <w:rFonts w:ascii="Times New Roman" w:hAnsi="Times New Roman" w:eastAsia="Times New Roman"/>
          <w:sz w:val="18"/>
        </w:rPr>
        <w:t xml:space="preserve">Table 3. Ablation study of SynGS components.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1620"/>
        <w:gridCol w:w="1620"/>
        <w:gridCol w:w="1620"/>
        <w:gridCol w:w="1620"/>
        <w:gridCol w:w="1620"/>
        <w:gridCol w:w="1620"/>
      </w:tblGrid>
      <w:tr>
        <w:trPr>
          <w:cantSplit/>
        </w:trPr>
        <w:tc>
          <w:tcPr>
            <w:tcW w:type="dxa" w:w="1620"/>
          </w:tcPr>
          <w:p>
            <w:pPr>
              <w:jc w:val="center"/>
            </w:pPr>
            <w:r/>
            <w:r>
              <w:rPr>
                <w:rFonts w:ascii="Times New Roman" w:hAnsi="Times New Roman" w:eastAsia="Times New Roman"/>
                <w:b/>
                <w:sz w:val="16"/>
              </w:rPr>
              <w:t>Visual Hull Init</w:t>
            </w:r>
          </w:p>
        </w:tc>
        <w:tc>
          <w:tcPr>
            <w:tcW w:type="dxa" w:w="1620"/>
          </w:tcPr>
          <w:p>
            <w:pPr>
              <w:jc w:val="center"/>
            </w:pPr>
            <w:r/>
            <w:r>
              <w:rPr>
                <w:rFonts w:ascii="Times New Roman" w:hAnsi="Times New Roman" w:eastAsia="Times New Roman"/>
                <w:b/>
                <w:sz w:val="16"/>
              </w:rPr>
              <w:t>Depth Densification</w:t>
            </w:r>
          </w:p>
        </w:tc>
        <w:tc>
          <w:tcPr>
            <w:tcW w:type="dxa" w:w="1620"/>
          </w:tcPr>
          <w:p>
            <w:pPr>
              <w:jc w:val="center"/>
            </w:pPr>
            <w:r/>
            <w:r>
              <w:rPr>
                <w:rFonts w:ascii="Times New Roman" w:hAnsi="Times New Roman" w:eastAsia="Times New Roman"/>
                <w:b/>
                <w:sz w:val="16"/>
              </w:rPr>
              <w:t>Visibility Balancing*</w:t>
            </w:r>
          </w:p>
        </w:tc>
        <w:tc>
          <w:tcPr>
            <w:tcW w:type="dxa" w:w="1620"/>
          </w:tcPr>
          <w:p>
            <w:pPr>
              <w:jc w:val="center"/>
            </w:pPr>
            <w:r/>
            <w:r>
              <w:rPr>
                <w:rFonts w:ascii="Times New Roman" w:hAnsi="Times New Roman" w:eastAsia="Times New Roman"/>
                <w:b/>
                <w:sz w:val="16"/>
              </w:rPr>
              <w:t>SSIM↑</w:t>
            </w:r>
          </w:p>
        </w:tc>
        <w:tc>
          <w:tcPr>
            <w:tcW w:type="dxa" w:w="1620"/>
          </w:tcPr>
          <w:p>
            <w:pPr>
              <w:jc w:val="center"/>
            </w:pPr>
            <w:r/>
            <w:r>
              <w:rPr>
                <w:rFonts w:ascii="Times New Roman" w:hAnsi="Times New Roman" w:eastAsia="Times New Roman"/>
                <w:b/>
                <w:sz w:val="16"/>
              </w:rPr>
              <w:t>PSNR↑</w:t>
            </w:r>
          </w:p>
        </w:tc>
        <w:tc>
          <w:tcPr>
            <w:tcW w:type="dxa" w:w="1620"/>
          </w:tcPr>
          <w:p>
            <w:pPr>
              <w:jc w:val="center"/>
            </w:pPr>
            <w:r/>
            <w:r>
              <w:rPr>
                <w:rFonts w:ascii="Times New Roman" w:hAnsi="Times New Roman" w:eastAsia="Times New Roman"/>
                <w:b/>
                <w:sz w:val="16"/>
              </w:rPr>
              <w:t>LPIPS*↓</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t>0.865</w:t>
            </w:r>
          </w:p>
        </w:tc>
        <w:tc>
          <w:tcPr>
            <w:tcW w:type="dxa" w:w="1620"/>
          </w:tcPr>
          <w:p>
            <w:pPr>
              <w:jc w:val="center"/>
            </w:pPr>
            <w:r/>
            <w:r>
              <w:rPr>
                <w:rFonts w:ascii="Times New Roman" w:hAnsi="Times New Roman" w:eastAsia="Times New Roman"/>
                <w:b w:val="0"/>
                <w:sz w:val="16"/>
              </w:rPr>
              <w:t>17.51</w:t>
            </w:r>
          </w:p>
        </w:tc>
        <w:tc>
          <w:tcPr>
            <w:tcW w:type="dxa" w:w="1620"/>
          </w:tcPr>
          <w:p>
            <w:pPr>
              <w:jc w:val="center"/>
            </w:pPr>
            <w:r/>
            <w:r>
              <w:rPr>
                <w:rFonts w:ascii="Times New Roman" w:hAnsi="Times New Roman" w:eastAsia="Times New Roman"/>
                <w:b w:val="0"/>
                <w:sz w:val="16"/>
              </w:rPr>
              <w:t>12.80</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t>0.902</w:t>
            </w:r>
          </w:p>
        </w:tc>
        <w:tc>
          <w:tcPr>
            <w:tcW w:type="dxa" w:w="1620"/>
          </w:tcPr>
          <w:p>
            <w:pPr>
              <w:jc w:val="center"/>
            </w:pPr>
            <w:r/>
            <w:r>
              <w:rPr>
                <w:rFonts w:ascii="Times New Roman" w:hAnsi="Times New Roman" w:eastAsia="Times New Roman"/>
                <w:b w:val="0"/>
                <w:sz w:val="16"/>
              </w:rPr>
              <w:t>24.96</w:t>
            </w:r>
          </w:p>
        </w:tc>
        <w:tc>
          <w:tcPr>
            <w:tcW w:type="dxa" w:w="1620"/>
          </w:tcPr>
          <w:p>
            <w:pPr>
              <w:jc w:val="center"/>
            </w:pPr>
            <w:r/>
            <w:r>
              <w:rPr>
                <w:rFonts w:ascii="Times New Roman" w:hAnsi="Times New Roman" w:eastAsia="Times New Roman"/>
                <w:b w:val="0"/>
                <w:sz w:val="16"/>
              </w:rPr>
              <w:t>5.20</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sz w:val="16"/>
              </w:rPr>
              <w:t>0.943</w:t>
            </w:r>
          </w:p>
        </w:tc>
        <w:tc>
          <w:tcPr>
            <w:tcW w:type="dxa" w:w="1620"/>
          </w:tcPr>
          <w:p>
            <w:pPr>
              <w:jc w:val="center"/>
            </w:pPr>
            <w:r/>
            <w:r>
              <w:rPr>
                <w:rFonts w:ascii="Times New Roman" w:hAnsi="Times New Roman" w:eastAsia="Times New Roman"/>
                <w:b/>
                <w:sz w:val="16"/>
              </w:rPr>
              <w:t>26.18</w:t>
            </w:r>
          </w:p>
        </w:tc>
        <w:tc>
          <w:tcPr>
            <w:tcW w:type="dxa" w:w="1620"/>
          </w:tcPr>
          <w:p>
            <w:pPr>
              <w:jc w:val="center"/>
            </w:pPr>
            <w:r/>
            <w:r>
              <w:rPr>
                <w:rFonts w:ascii="Times New Roman" w:hAnsi="Times New Roman" w:eastAsia="Times New Roman"/>
                <w:b/>
                <w:sz w:val="16"/>
              </w:rPr>
              <w:t>3.98</w:t>
            </w:r>
          </w:p>
        </w:tc>
      </w:tr>
    </w:tbl>
    <w:p>
      <w:pPr>
        <w:pStyle w:val="SPIEbodytext"/>
        <w:jc w:val="both"/>
      </w:pPr>
      <w:r>
        <w:rPr>
          <w:rFonts w:ascii="Times New Roman" w:hAnsi="Times New Roman" w:eastAsia="Times New Roman"/>
          <w:sz w:val="20"/>
        </w:rPr>
        <w:t xml:space="preserve">Unlike Table 1, which reports dataset-wide averages, the ablation is a separate protocol and is not the 4-view mean in Table 1.</w:t>
      </w:r>
    </w:p>
    <w:p>
      <w:pPr>
        <w:pStyle w:val="SPIEbodytext"/>
        <w:jc w:val="both"/>
      </w:pPr>
      <w:r>
        <w:rPr>
          <w:rFonts w:ascii="Times New Roman" w:hAnsi="Times New Roman" w:eastAsia="Times New Roman"/>
          <w:sz w:val="20"/>
        </w:rPr>
        <w:t xml:space="preserve">Visual Hull Initialization establishes the geometric baseline at 17.51 dB PSNR. Adding Depth Densification raises PSNR to 24.96 dB, the largest gain in the ablation. Adding DVR further improves the full configuration to 26.18 dB, with gains in SSIM and LPIPS.</w:t>
      </w:r>
    </w:p>
    <w:p>
      <w:pPr>
        <w:pStyle w:val="SPIEbodytext"/>
        <w:jc w:val="both"/>
      </w:pPr>
      <w:r>
        <w:rPr>
          <w:rFonts w:ascii="Times New Roman" w:hAnsi="Times New Roman" w:eastAsia="Times New Roman"/>
          <w:sz w:val="20"/>
        </w:rPr>
        <w:t xml:space="preserve">*Visibility Balancing denotes Dynamic Visibility Regularization (DVR).</w:t>
      </w:r>
    </w:p>
    <w:bookmarkEnd w:id="50"/>
    <w:bookmarkEnd w:id="51"/>
    <w:bookmarkStart w:id="52" w:name="_conclusion"/>
    <w:p>
      <w:pPr>
        <w:pStyle w:val="1"/>
      </w:pPr>
      <w:r>
        <w:rPr>
          <w:rFonts w:ascii="Times New Roman" w:hAnsi="Times New Roman" w:eastAsia="Times New Roman"/>
          <w:b/>
          <w:sz w:val="22"/>
        </w:rPr>
        <w:t xml:space="preserve">CONCLUSION</w:t>
      </w:r>
    </w:p>
    <w:p>
      <w:pPr>
        <w:pStyle w:val="SPIEbodytext"/>
        <w:jc w:val="both"/>
      </w:pPr>
      <w:r>
        <w:rPr>
          <w:rFonts w:ascii="Times New Roman" w:hAnsi="Times New Roman" w:eastAsia="Times New Roman"/>
          <w:sz w:val="20"/>
        </w:rPr>
        <w:t xml:space="preserve">We present SynGS for sparse-view 3DGS, combining</w:t>
      </w:r>
      <w:r>
        <w:rPr>
          <w:rFonts w:ascii="Times New Roman" w:hAnsi="Times New Roman" w:eastAsia="Times New Roman"/>
          <w:sz w:val="20"/>
        </w:rPr>
        <w:t xml:space="preserve"> </w:t>
      </w: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and</w:t>
      </w:r>
      <w:r>
        <w:rPr>
          <w:rFonts w:ascii="Times New Roman" w:hAnsi="Times New Roman" w:eastAsia="Times New Roman"/>
          <w:sz w:val="20"/>
        </w:rPr>
        <w:t xml:space="preserve"> </w:t>
      </w:r>
      <w:r>
        <w:rPr>
          <w:rFonts w:ascii="Times New Roman" w:hAnsi="Times New Roman" w:eastAsia="Times New Roman"/>
          <w:b/>
          <w:bCs/>
          <w:sz w:val="20"/>
        </w:rPr>
        <w:t xml:space="preserve">Dynamic Visibility Regularization</w:t>
      </w:r>
      <w:r>
        <w:rPr>
          <w:rFonts w:ascii="Times New Roman" w:hAnsi="Times New Roman" w:eastAsia="Times New Roman"/>
          <w:sz w:val="20"/>
        </w:rPr>
        <w:t xml:space="preserve"> </w:t>
      </w:r>
      <w:r>
        <w:rPr>
          <w:rFonts w:ascii="Times New Roman" w:hAnsi="Times New Roman" w:eastAsia="Times New Roman"/>
          <w:sz w:val="20"/>
        </w:rPr>
        <w:t xml:space="preserve">for more reliable initialization, geometry completion, and reduced sparse-view overfitting. SynGS shows more pronounced improvements under highly sparse-view conditions, particularly in PSNR and SSIM with four or six input views. With nine input views, on Mip-NeRF 360, SynGS continues to outperform the compared approaches in terms of PSNR and SSIM, whereas its performance on LLFF is generally comparable to that of the other evaluated methods. However, the additional geometry introduced during initialization incurs memory and computational overhead. Our future research will investigate ways to improve the efficiency of geometry augmentation, aiming to lower the associated computational and memory overhead without compromising reconstruction quality.</w:t>
      </w:r>
    </w:p>
    <w:p>
      <w:pPr>
        <w:pStyle w:val="SPIEreferences"/>
      </w:pPr>
      <w:r>
        <w:rPr>
          <w:rFonts w:ascii="Times New Roman" w:hAnsi="Times New Roman" w:eastAsia="Times New Roman"/>
          <w:b/>
          <w:sz w:val="22"/>
        </w:rPr>
        <w:t>References</w:t>
      </w:r>
    </w:p>
    <w:p>
      <w:pPr>
        <w:pStyle w:val="SPIEreferencelisting"/>
      </w:pPr>
      <w:r>
        <w:rPr>
          <w:rFonts w:ascii="Times New Roman" w:hAnsi="Times New Roman" w:eastAsia="Times New Roman"/>
          <w:sz w:val="18"/>
        </w:rPr>
        <w:t xml:space="preserve">Yang, J., Pavone, M., and Wang, Y.,</w:t>
      </w:r>
      <w:r>
        <w:rPr>
          <w:rFonts w:ascii="Times New Roman" w:hAnsi="Times New Roman" w:eastAsia="Times New Roman"/>
          <w:sz w:val="18"/>
        </w:rPr>
        <w:t xml:space="preserve"> </w:t>
      </w:r>
      <w:r>
        <w:rPr>
          <w:rFonts w:ascii="Times New Roman" w:hAnsi="Times New Roman" w:eastAsia="Times New Roman"/>
          <w:sz w:val="18"/>
        </w:rPr>
        <w:t xml:space="preserve">“FreeNeRF: Improving few-shot neural rendering with free frequency regularization,”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8254–8263 (2023). DOI: https://doi.org/10.1109/cvpr52729.2023.00798.</w:t>
      </w:r>
    </w:p>
    <w:p>
      <w:pPr>
        <w:pStyle w:val="SPIEreferencelisting"/>
      </w:pPr>
      <w:r>
        <w:rPr>
          <w:rFonts w:ascii="Times New Roman" w:hAnsi="Times New Roman" w:eastAsia="Times New Roman"/>
          <w:sz w:val="18"/>
        </w:rPr>
        <w:t xml:space="preserve">Niemeyer, M., Barron, J. T., Mildenhall, B., Sajjadi, M. S. M., Geiger, A., and Radwan, N.,</w:t>
      </w:r>
      <w:r>
        <w:rPr>
          <w:rFonts w:ascii="Times New Roman" w:hAnsi="Times New Roman" w:eastAsia="Times New Roman"/>
          <w:sz w:val="18"/>
        </w:rPr>
        <w:t xml:space="preserve"> </w:t>
      </w:r>
      <w:r>
        <w:rPr>
          <w:rFonts w:ascii="Times New Roman" w:hAnsi="Times New Roman" w:eastAsia="Times New Roman"/>
          <w:sz w:val="18"/>
        </w:rPr>
        <w:t xml:space="preserve">“RegNeRF: Regularizing neural radiance fields for view synthesis from sparse inputs,”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5480–5490 (2022). DOI: https://doi.org/10.1109/cvpr52688.2022.00540.</w:t>
      </w:r>
    </w:p>
    <w:p>
      <w:pPr>
        <w:pStyle w:val="SPIEreferencelisting"/>
      </w:pPr>
      <w:r>
        <w:rPr>
          <w:rFonts w:ascii="Times New Roman" w:hAnsi="Times New Roman" w:eastAsia="Times New Roman"/>
          <w:sz w:val="18"/>
        </w:rPr>
        <w:t xml:space="preserve">Kerbl, B., Kopanas, G., Leimkühler, T., and Drettakis, G.,</w:t>
      </w:r>
      <w:r>
        <w:rPr>
          <w:rFonts w:ascii="Times New Roman" w:hAnsi="Times New Roman" w:eastAsia="Times New Roman"/>
          <w:sz w:val="18"/>
        </w:rPr>
        <w:t xml:space="preserve"> </w:t>
      </w:r>
      <w:r>
        <w:rPr>
          <w:rFonts w:ascii="Times New Roman" w:hAnsi="Times New Roman" w:eastAsia="Times New Roman"/>
          <w:sz w:val="18"/>
        </w:rPr>
        <w:t xml:space="preserve">“3D gaussian splatting for real-time radiance field rendering,”</w:t>
      </w:r>
      <w:r>
        <w:rPr>
          <w:rFonts w:ascii="Times New Roman" w:hAnsi="Times New Roman" w:eastAsia="Times New Roman"/>
          <w:sz w:val="18"/>
        </w:rPr>
        <w:t xml:space="preserve"> </w:t>
      </w:r>
      <w:r>
        <w:rPr>
          <w:rFonts w:ascii="Times New Roman" w:hAnsi="Times New Roman" w:eastAsia="Times New Roman"/>
          <w:sz w:val="18"/>
        </w:rPr>
        <w:t xml:space="preserve">ACM Transactions on Graphics 42(4), 139:1–139:14 (2023). DOI: https://doi.org/10.1145/3592433.</w:t>
      </w:r>
    </w:p>
    <w:p>
      <w:pPr>
        <w:pStyle w:val="SPIEreferencelisting"/>
      </w:pPr>
      <w:r>
        <w:rPr>
          <w:rFonts w:ascii="Times New Roman" w:hAnsi="Times New Roman" w:eastAsia="Times New Roman"/>
          <w:sz w:val="18"/>
        </w:rPr>
        <w:t xml:space="preserve">Lu, T., Yu, M., Xu, L., Xiangli, Y., Wang, L., Lin, D., and Dai, B.,</w:t>
      </w:r>
      <w:r>
        <w:rPr>
          <w:rFonts w:ascii="Times New Roman" w:hAnsi="Times New Roman" w:eastAsia="Times New Roman"/>
          <w:sz w:val="18"/>
        </w:rPr>
        <w:t xml:space="preserve"> </w:t>
      </w:r>
      <w:r>
        <w:rPr>
          <w:rFonts w:ascii="Times New Roman" w:hAnsi="Times New Roman" w:eastAsia="Times New Roman"/>
          <w:sz w:val="18"/>
        </w:rPr>
        <w:t xml:space="preserve">“Scaffold-GS: Structured 3D gaussians for view-adaptive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20654–20664 (2024). DOI: https://doi.org/10.1109/cvpr52733.2024.01952.</w:t>
      </w:r>
    </w:p>
    <w:p>
      <w:pPr>
        <w:pStyle w:val="SPIEreferencelisting"/>
      </w:pPr>
      <w:r>
        <w:rPr>
          <w:rFonts w:ascii="Times New Roman" w:hAnsi="Times New Roman" w:eastAsia="Times New Roman"/>
          <w:sz w:val="18"/>
        </w:rPr>
        <w:t xml:space="preserve">Schönberger, J. L. and Frahm, J.-M.,</w:t>
      </w:r>
      <w:r>
        <w:rPr>
          <w:rFonts w:ascii="Times New Roman" w:hAnsi="Times New Roman" w:eastAsia="Times New Roman"/>
          <w:sz w:val="18"/>
        </w:rPr>
        <w:t xml:space="preserve"> </w:t>
      </w:r>
      <w:r>
        <w:rPr>
          <w:rFonts w:ascii="Times New Roman" w:hAnsi="Times New Roman" w:eastAsia="Times New Roman"/>
          <w:sz w:val="18"/>
        </w:rPr>
        <w:t xml:space="preserve">“Structure-from-motion revisited,”</w:t>
      </w:r>
      <w:r>
        <w:rPr>
          <w:rFonts w:ascii="Times New Roman" w:hAnsi="Times New Roman" w:eastAsia="Times New Roman"/>
          <w:sz w:val="18"/>
        </w:rPr>
        <w:t xml:space="preserve"> </w:t>
      </w:r>
      <w:r>
        <w:rPr>
          <w:rFonts w:ascii="Times New Roman" w:hAnsi="Times New Roman" w:eastAsia="Times New Roman"/>
          <w:sz w:val="18"/>
        </w:rPr>
        <w:t xml:space="preserve">in [Proc. IEEE Conference on Computer Vision and Pattern Recognition (CVPR)], 4104–4113 (2016). DOI: https://doi.org/10.1109/cvpr.2016.445.</w:t>
      </w:r>
    </w:p>
    <w:p>
      <w:pPr>
        <w:pStyle w:val="SPIEreferencelisting"/>
      </w:pPr>
      <w:r>
        <w:rPr>
          <w:rFonts w:ascii="Times New Roman" w:hAnsi="Times New Roman" w:eastAsia="Times New Roman"/>
          <w:sz w:val="18"/>
        </w:rPr>
        <w:t xml:space="preserve">Chung, J., Oh, J., and Lee, K. M.,</w:t>
      </w:r>
      <w:r>
        <w:rPr>
          <w:rFonts w:ascii="Times New Roman" w:hAnsi="Times New Roman" w:eastAsia="Times New Roman"/>
          <w:sz w:val="18"/>
        </w:rPr>
        <w:t xml:space="preserve"> </w:t>
      </w:r>
      <w:r>
        <w:rPr>
          <w:rFonts w:ascii="Times New Roman" w:hAnsi="Times New Roman" w:eastAsia="Times New Roman"/>
          <w:sz w:val="18"/>
        </w:rPr>
        <w:t xml:space="preserve">“Depth-regularized optimization for 3D gaussian splatting in few-shot images,”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Workshops (CVPRW)], 811–820 (2024). DOI: https://doi.org/10.1109/cvprw63382.2024.00086.</w:t>
      </w:r>
    </w:p>
    <w:p>
      <w:pPr>
        <w:pStyle w:val="SPIEreferencelisting"/>
      </w:pPr>
      <w:r>
        <w:rPr>
          <w:rFonts w:ascii="Times New Roman" w:hAnsi="Times New Roman" w:eastAsia="Times New Roman"/>
          <w:sz w:val="18"/>
        </w:rPr>
        <w:t xml:space="preserve">Xu, Y., Wang, L., Chen, M., Ao, S., Li, L., and Guo, Y.,</w:t>
      </w:r>
      <w:r>
        <w:rPr>
          <w:rFonts w:ascii="Times New Roman" w:hAnsi="Times New Roman" w:eastAsia="Times New Roman"/>
          <w:sz w:val="18"/>
        </w:rPr>
        <w:t xml:space="preserve"> </w:t>
      </w:r>
      <w:r>
        <w:rPr>
          <w:rFonts w:ascii="Times New Roman" w:hAnsi="Times New Roman" w:eastAsia="Times New Roman"/>
          <w:sz w:val="18"/>
        </w:rPr>
        <w:t xml:space="preserve">“DropoutGS: Dropping out gaussians for better sparse-view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701–710 (2025). DOI: https://doi.org/10.1109/cvpr52734.2025.00074.</w:t>
      </w:r>
    </w:p>
    <w:p>
      <w:pPr>
        <w:pStyle w:val="SPIEreferencelisting"/>
      </w:pPr>
      <w:r>
        <w:rPr>
          <w:rFonts w:ascii="Times New Roman" w:hAnsi="Times New Roman" w:eastAsia="Times New Roman"/>
          <w:sz w:val="18"/>
        </w:rPr>
        <w:t xml:space="preserve">Park, H., Ryu, G., and Kim, W.,</w:t>
      </w:r>
      <w:r>
        <w:rPr>
          <w:rFonts w:ascii="Times New Roman" w:hAnsi="Times New Roman" w:eastAsia="Times New Roman"/>
          <w:sz w:val="18"/>
        </w:rPr>
        <w:t xml:space="preserve"> </w:t>
      </w:r>
      <w:r>
        <w:rPr>
          <w:rFonts w:ascii="Times New Roman" w:hAnsi="Times New Roman" w:eastAsia="Times New Roman"/>
          <w:sz w:val="18"/>
        </w:rPr>
        <w:t xml:space="preserve">“DropGaussian: Structural regularization for sparse-view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21600–21609 (2025). DOI: https://doi.org/10.1109/cvpr52734.2025.02012.</w:t>
      </w:r>
    </w:p>
    <w:p>
      <w:pPr>
        <w:pStyle w:val="SPIEreferencelisting"/>
      </w:pPr>
      <w:r>
        <w:rPr>
          <w:rFonts w:ascii="Times New Roman" w:hAnsi="Times New Roman" w:eastAsia="Times New Roman"/>
          <w:sz w:val="18"/>
        </w:rPr>
        <w:t xml:space="preserve">Somraj, N. and Soundararajan, R.,</w:t>
      </w:r>
      <w:r>
        <w:rPr>
          <w:rFonts w:ascii="Times New Roman" w:hAnsi="Times New Roman" w:eastAsia="Times New Roman"/>
          <w:sz w:val="18"/>
        </w:rPr>
        <w:t xml:space="preserve"> </w:t>
      </w:r>
      <w:r>
        <w:rPr>
          <w:rFonts w:ascii="Times New Roman" w:hAnsi="Times New Roman" w:eastAsia="Times New Roman"/>
          <w:sz w:val="18"/>
        </w:rPr>
        <w:t xml:space="preserve">“ViP-NeRF: Visibility prior for sparse input neural radiance fields,”</w:t>
      </w:r>
      <w:r>
        <w:rPr>
          <w:rFonts w:ascii="Times New Roman" w:hAnsi="Times New Roman" w:eastAsia="Times New Roman"/>
          <w:sz w:val="18"/>
        </w:rPr>
        <w:t xml:space="preserve"> </w:t>
      </w:r>
      <w:r>
        <w:rPr>
          <w:rFonts w:ascii="Times New Roman" w:hAnsi="Times New Roman" w:eastAsia="Times New Roman"/>
          <w:sz w:val="18"/>
        </w:rPr>
        <w:t xml:space="preserve">in [Proc. ACM SIGGRAPH Conference], 1–11 (2023). DOI: https://doi.org/10.1145/3588432.3591539.</w:t>
      </w:r>
    </w:p>
    <w:p>
      <w:pPr>
        <w:pStyle w:val="SPIEreferencelisting"/>
      </w:pPr>
      <w:r>
        <w:rPr>
          <w:rFonts w:ascii="Times New Roman" w:hAnsi="Times New Roman" w:eastAsia="Times New Roman"/>
          <w:sz w:val="18"/>
        </w:rPr>
        <w:t xml:space="preserve">Li, J., Zhang, J., Bai, X., Zheng, J., Ning, X., Zhou, J., and Gu, L.,</w:t>
      </w:r>
      <w:r>
        <w:rPr>
          <w:rFonts w:ascii="Times New Roman" w:hAnsi="Times New Roman" w:eastAsia="Times New Roman"/>
          <w:sz w:val="18"/>
        </w:rPr>
        <w:t xml:space="preserve"> </w:t>
      </w:r>
      <w:r>
        <w:rPr>
          <w:rFonts w:ascii="Times New Roman" w:hAnsi="Times New Roman" w:eastAsia="Times New Roman"/>
          <w:sz w:val="18"/>
        </w:rPr>
        <w:t xml:space="preserve">“DNGaussian: Optimizing sparse-view 3D gaussian radiance fields with global-local depth normalization,”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20775–20785 (2024). DOI: https://doi.org/10.1109/cvpr52733.2024.01963.</w:t>
      </w:r>
    </w:p>
    <w:p>
      <w:pPr>
        <w:pStyle w:val="SPIEreferencelisting"/>
      </w:pPr>
      <w:r>
        <w:rPr>
          <w:rFonts w:ascii="Times New Roman" w:hAnsi="Times New Roman" w:eastAsia="Times New Roman"/>
          <w:sz w:val="18"/>
        </w:rPr>
        <w:t xml:space="preserve">Zhu, Z., Fan, Z., Jiang, Y., and Wang, Z.,</w:t>
      </w:r>
      <w:r>
        <w:rPr>
          <w:rFonts w:ascii="Times New Roman" w:hAnsi="Times New Roman" w:eastAsia="Times New Roman"/>
          <w:sz w:val="18"/>
        </w:rPr>
        <w:t xml:space="preserve"> </w:t>
      </w:r>
      <w:r>
        <w:rPr>
          <w:rFonts w:ascii="Times New Roman" w:hAnsi="Times New Roman" w:eastAsia="Times New Roman"/>
          <w:sz w:val="18"/>
        </w:rPr>
        <w:t xml:space="preserve">“FSGS: Real-time few-shot view synthesis using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145–163 (2024). DOI: https://doi.org/10.1007/978-3-031-72933-1_9.</w:t>
      </w:r>
    </w:p>
    <w:p>
      <w:pPr>
        <w:pStyle w:val="SPIEreferencelisting"/>
      </w:pPr>
      <w:r>
        <w:rPr>
          <w:rFonts w:ascii="Times New Roman" w:hAnsi="Times New Roman" w:eastAsia="Times New Roman"/>
          <w:sz w:val="18"/>
        </w:rPr>
        <w:t xml:space="preserve">Zhang, J., Li, J., Yu, X., Huang, L., Gu, L., Zheng, J., and Bai, X.,</w:t>
      </w:r>
      <w:r>
        <w:rPr>
          <w:rFonts w:ascii="Times New Roman" w:hAnsi="Times New Roman" w:eastAsia="Times New Roman"/>
          <w:sz w:val="18"/>
        </w:rPr>
        <w:t xml:space="preserve"> </w:t>
      </w:r>
      <w:r>
        <w:rPr>
          <w:rFonts w:ascii="Times New Roman" w:hAnsi="Times New Roman" w:eastAsia="Times New Roman"/>
          <w:sz w:val="18"/>
        </w:rPr>
        <w:t xml:space="preserve">“CoR-GS: Sparse-view 3D gaussian splatting via co-regularization,”</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335–352 (2024). DOI: https://doi.org/10.1007/978-3-031-73232-4_19.</w:t>
      </w:r>
    </w:p>
    <w:p>
      <w:pPr>
        <w:pStyle w:val="SPIEreferencelisting"/>
      </w:pPr>
      <w:r>
        <w:rPr>
          <w:rFonts w:ascii="Times New Roman" w:hAnsi="Times New Roman" w:eastAsia="Times New Roman"/>
          <w:sz w:val="18"/>
        </w:rPr>
        <w:t xml:space="preserve">Mildenhall, B., Srinivasan, P. P., Tancik, M., Barron, J. T., Ramamoorthi, R., and Ng, R.,</w:t>
      </w:r>
      <w:r>
        <w:rPr>
          <w:rFonts w:ascii="Times New Roman" w:hAnsi="Times New Roman" w:eastAsia="Times New Roman"/>
          <w:sz w:val="18"/>
        </w:rPr>
        <w:t xml:space="preserve"> </w:t>
      </w:r>
      <w:r>
        <w:rPr>
          <w:rFonts w:ascii="Times New Roman" w:hAnsi="Times New Roman" w:eastAsia="Times New Roman"/>
          <w:sz w:val="18"/>
        </w:rPr>
        <w:t xml:space="preserve">“NeRF: Representing scenes as neural radiance fields for view synthesis,”</w:t>
      </w:r>
      <w:r>
        <w:rPr>
          <w:rFonts w:ascii="Times New Roman" w:hAnsi="Times New Roman" w:eastAsia="Times New Roman"/>
          <w:sz w:val="18"/>
        </w:rPr>
        <w:t xml:space="preserve"> </w:t>
      </w:r>
      <w:r>
        <w:rPr>
          <w:rFonts w:ascii="Times New Roman" w:hAnsi="Times New Roman" w:eastAsia="Times New Roman"/>
          <w:sz w:val="18"/>
        </w:rPr>
        <w:t xml:space="preserve">Communications of the ACM 65(1), 99–106 (2021). DOI: https://doi.org/10.1145/3503250.</w:t>
      </w:r>
    </w:p>
    <w:p>
      <w:pPr>
        <w:pStyle w:val="SPIEreferencelisting"/>
      </w:pPr>
      <w:r>
        <w:rPr>
          <w:rFonts w:ascii="Times New Roman" w:hAnsi="Times New Roman" w:eastAsia="Times New Roman"/>
          <w:sz w:val="18"/>
        </w:rPr>
        <w:t xml:space="preserve">Wang, G., Chen, Z., Loy, C. C., and Liu, Z.,</w:t>
      </w:r>
      <w:r>
        <w:rPr>
          <w:rFonts w:ascii="Times New Roman" w:hAnsi="Times New Roman" w:eastAsia="Times New Roman"/>
          <w:sz w:val="18"/>
        </w:rPr>
        <w:t xml:space="preserve"> </w:t>
      </w:r>
      <w:r>
        <w:rPr>
          <w:rFonts w:ascii="Times New Roman" w:hAnsi="Times New Roman" w:eastAsia="Times New Roman"/>
          <w:sz w:val="18"/>
        </w:rPr>
        <w:t xml:space="preserve">“SparseNeRF: Distilling depth ranking for few-shot novel view synthesis,”</w:t>
      </w:r>
      <w:r>
        <w:rPr>
          <w:rFonts w:ascii="Times New Roman" w:hAnsi="Times New Roman" w:eastAsia="Times New Roman"/>
          <w:sz w:val="18"/>
        </w:rPr>
        <w:t xml:space="preserve"> </w:t>
      </w:r>
      <w:r>
        <w:rPr>
          <w:rFonts w:ascii="Times New Roman" w:hAnsi="Times New Roman" w:eastAsia="Times New Roman"/>
          <w:sz w:val="18"/>
        </w:rPr>
        <w:t xml:space="preserve">in [Proc. IEEE/CVF International Conference on Computer Vision (ICCV)], 9031–9042 (2023). DOI: https://doi.org/10.1109/iccv51070.2023.00832.</w:t>
      </w:r>
    </w:p>
    <w:p>
      <w:pPr>
        <w:pStyle w:val="SPIEreferencelisting"/>
      </w:pPr>
      <w:r>
        <w:rPr>
          <w:rFonts w:ascii="Times New Roman" w:hAnsi="Times New Roman" w:eastAsia="Times New Roman"/>
          <w:sz w:val="18"/>
        </w:rPr>
        <w:t xml:space="preserve">Zheng, Y., Jiang, Z., He, S., Sun, Y., Dong, J., Zhang, H., and Du, Y.,</w:t>
      </w:r>
      <w:r>
        <w:rPr>
          <w:rFonts w:ascii="Times New Roman" w:hAnsi="Times New Roman" w:eastAsia="Times New Roman"/>
          <w:sz w:val="18"/>
        </w:rPr>
        <w:t xml:space="preserve"> </w:t>
      </w:r>
      <w:r>
        <w:rPr>
          <w:rFonts w:ascii="Times New Roman" w:hAnsi="Times New Roman" w:eastAsia="Times New Roman"/>
          <w:sz w:val="18"/>
        </w:rPr>
        <w:t xml:space="preserve">“NexusGS: Sparse view synthesis with epipolar depth priors in 3D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26800–26809 (2025). DOI: https://doi.org/10.1109/cvpr52734.2025.02496.</w:t>
      </w:r>
    </w:p>
    <w:p>
      <w:pPr>
        <w:pStyle w:val="SPIEreferencelisting"/>
      </w:pPr>
      <w:r>
        <w:rPr>
          <w:rFonts w:ascii="Times New Roman" w:hAnsi="Times New Roman" w:eastAsia="Times New Roman"/>
          <w:sz w:val="18"/>
        </w:rPr>
        <w:t xml:space="preserve">Yang, L., Kang, B., Huang, Z., Zhao, Z., Xu, X., Feng, J., and Zhao, H.,</w:t>
      </w:r>
      <w:r>
        <w:rPr>
          <w:rFonts w:ascii="Times New Roman" w:hAnsi="Times New Roman" w:eastAsia="Times New Roman"/>
          <w:sz w:val="18"/>
        </w:rPr>
        <w:t xml:space="preserve"> </w:t>
      </w:r>
      <w:r>
        <w:rPr>
          <w:rFonts w:ascii="Times New Roman" w:hAnsi="Times New Roman" w:eastAsia="Times New Roman"/>
          <w:sz w:val="18"/>
        </w:rPr>
        <w:t xml:space="preserve">“Depth anything V2,”</w:t>
      </w:r>
      <w:r>
        <w:rPr>
          <w:rFonts w:ascii="Times New Roman" w:hAnsi="Times New Roman" w:eastAsia="Times New Roman"/>
          <w:sz w:val="18"/>
        </w:rPr>
        <w:t xml:space="preserve"> </w:t>
      </w:r>
      <w:r>
        <w:rPr>
          <w:rFonts w:ascii="Times New Roman" w:hAnsi="Times New Roman" w:eastAsia="Times New Roman"/>
          <w:sz w:val="18"/>
        </w:rPr>
        <w:t xml:space="preserve">in [Advances in Neural Information Processing Systems (NeurIPS)], 37, 21875–21911 (2024). DOI: https://doi.org/10.52202/079017-0688.</w:t>
      </w:r>
    </w:p>
    <w:p>
      <w:pPr>
        <w:pStyle w:val="SPIEreferencelisting"/>
      </w:pPr>
      <w:r>
        <w:rPr>
          <w:rFonts w:ascii="Times New Roman" w:hAnsi="Times New Roman" w:eastAsia="Times New Roman"/>
          <w:sz w:val="18"/>
        </w:rPr>
        <w:t xml:space="preserve">Wang, J., Chen, M., Karaev, N., Vedaldi, A., Rupprecht, C., and Novotny, D.,</w:t>
      </w:r>
      <w:r>
        <w:rPr>
          <w:rFonts w:ascii="Times New Roman" w:hAnsi="Times New Roman" w:eastAsia="Times New Roman"/>
          <w:sz w:val="18"/>
        </w:rPr>
        <w:t xml:space="preserve"> </w:t>
      </w:r>
      <w:r>
        <w:rPr>
          <w:rFonts w:ascii="Times New Roman" w:hAnsi="Times New Roman" w:eastAsia="Times New Roman"/>
          <w:sz w:val="18"/>
        </w:rPr>
        <w:t xml:space="preserve">“VGGT: Visual geometry grounded transformer,”</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5294–5306 (2025). DOI: https://doi.org/10.1109/cvpr52734.2025.00499.</w:t>
      </w:r>
    </w:p>
    <w:p>
      <w:pPr>
        <w:pStyle w:val="SPIEreferencelisting"/>
      </w:pPr>
      <w:r>
        <w:rPr>
          <w:rFonts w:ascii="Times New Roman" w:hAnsi="Times New Roman" w:eastAsia="Times New Roman"/>
          <w:sz w:val="18"/>
        </w:rPr>
        <w:t xml:space="preserve">Laurentini, A.,</w:t>
      </w:r>
      <w:r>
        <w:rPr>
          <w:rFonts w:ascii="Times New Roman" w:hAnsi="Times New Roman" w:eastAsia="Times New Roman"/>
          <w:sz w:val="18"/>
        </w:rPr>
        <w:t xml:space="preserve"> </w:t>
      </w:r>
      <w:r>
        <w:rPr>
          <w:rFonts w:ascii="Times New Roman" w:hAnsi="Times New Roman" w:eastAsia="Times New Roman"/>
          <w:sz w:val="18"/>
        </w:rPr>
        <w:t xml:space="preserve">“The visual hull concept for silhouette-based image understanding,”</w:t>
      </w:r>
      <w:r>
        <w:rPr>
          <w:rFonts w:ascii="Times New Roman" w:hAnsi="Times New Roman" w:eastAsia="Times New Roman"/>
          <w:sz w:val="18"/>
        </w:rPr>
        <w:t xml:space="preserve"> </w:t>
      </w:r>
      <w:r>
        <w:rPr>
          <w:rFonts w:ascii="Times New Roman" w:hAnsi="Times New Roman" w:eastAsia="Times New Roman"/>
          <w:sz w:val="18"/>
        </w:rPr>
        <w:t xml:space="preserve">IEEE Transactions on Pattern Analysis and Machine Intelligence 16(2), 150–162 (1994). DOI: https://doi.org/10.1109/34.273735.</w:t>
      </w:r>
    </w:p>
    <w:p>
      <w:pPr>
        <w:pStyle w:val="SPIEreferencelisting"/>
      </w:pPr>
      <w:r>
        <w:rPr>
          <w:rFonts w:ascii="Times New Roman" w:hAnsi="Times New Roman" w:eastAsia="Times New Roman"/>
          <w:sz w:val="18"/>
        </w:rPr>
        <w:t xml:space="preserve">Song, M., Lin, X., Zhang, D., Li, H., Li, X., Du, B., and Qi, L.,</w:t>
      </w:r>
      <w:r>
        <w:rPr>
          <w:rFonts w:ascii="Times New Roman" w:hAnsi="Times New Roman" w:eastAsia="Times New Roman"/>
          <w:sz w:val="18"/>
        </w:rPr>
        <w:t xml:space="preserve"> </w:t>
      </w:r>
      <w:r>
        <w:rPr>
          <w:rFonts w:ascii="Times New Roman" w:hAnsi="Times New Roman" w:eastAsia="Times New Roman"/>
          <w:sz w:val="18"/>
        </w:rPr>
        <w:t xml:space="preserve">“D2GS: Depth-and-density guided gaussian splatting for stable and accurate sparse-view reconstruction.”</w:t>
      </w:r>
      <w:r>
        <w:rPr>
          <w:rFonts w:ascii="Times New Roman" w:hAnsi="Times New Roman" w:eastAsia="Times New Roman"/>
          <w:sz w:val="18"/>
        </w:rPr>
        <w:t xml:space="preserve"> </w:t>
      </w:r>
      <w:r>
        <w:rPr>
          <w:rFonts w:ascii="Times New Roman" w:hAnsi="Times New Roman" w:eastAsia="Times New Roman"/>
          <w:sz w:val="18"/>
        </w:rPr>
        <w:t xml:space="preserve">arXiv preprint arXiv:2510.08566 (2025). DOI: https://doi.org/10.48550/arXiv.2510.08566.</w:t>
      </w:r>
    </w:p>
    <w:p>
      <w:pPr>
        <w:pStyle w:val="SPIEreferencelisting"/>
      </w:pPr>
      <w:r>
        <w:rPr>
          <w:rFonts w:ascii="Times New Roman" w:hAnsi="Times New Roman" w:eastAsia="Times New Roman"/>
          <w:sz w:val="18"/>
        </w:rPr>
        <w:t xml:space="preserve">Barron, J. T., Mildenhall, B., Verbin, D., Srinivasan, P. P., and Hedman, P.,</w:t>
      </w:r>
      <w:r>
        <w:rPr>
          <w:rFonts w:ascii="Times New Roman" w:hAnsi="Times New Roman" w:eastAsia="Times New Roman"/>
          <w:sz w:val="18"/>
        </w:rPr>
        <w:t xml:space="preserve"> </w:t>
      </w:r>
      <w:r>
        <w:rPr>
          <w:rFonts w:ascii="Times New Roman" w:hAnsi="Times New Roman" w:eastAsia="Times New Roman"/>
          <w:sz w:val="18"/>
        </w:rPr>
        <w:t xml:space="preserve">“Mip-NeRF 360: Unbounded anti-aliased neural radiance fields,”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5460–5469 (2022). DOI: https://doi.org/10.1109/cvpr52688.2022.00539.</w:t>
      </w:r>
    </w:p>
    <w:p>
      <w:pPr>
        <w:pStyle w:val="SPIEreferencelisting"/>
      </w:pPr>
      <w:r>
        <w:rPr>
          <w:rFonts w:ascii="Times New Roman" w:hAnsi="Times New Roman" w:eastAsia="Times New Roman"/>
          <w:sz w:val="18"/>
        </w:rPr>
        <w:t xml:space="preserve">Mildenhall, B., Srinivasan, P. P., Ortiz-Cayon, R., Kalantari, N. K., Ramamoorthi, R., Ng, R., and Kar, A.,</w:t>
      </w:r>
      <w:r>
        <w:rPr>
          <w:rFonts w:ascii="Times New Roman" w:hAnsi="Times New Roman" w:eastAsia="Times New Roman"/>
          <w:sz w:val="18"/>
        </w:rPr>
        <w:t xml:space="preserve"> </w:t>
      </w:r>
      <w:r>
        <w:rPr>
          <w:rFonts w:ascii="Times New Roman" w:hAnsi="Times New Roman" w:eastAsia="Times New Roman"/>
          <w:sz w:val="18"/>
        </w:rPr>
        <w:t xml:space="preserve">“Local light field fusion: Practical view synthesis with prescriptive sampling guidelines,”</w:t>
      </w:r>
      <w:r>
        <w:rPr>
          <w:rFonts w:ascii="Times New Roman" w:hAnsi="Times New Roman" w:eastAsia="Times New Roman"/>
          <w:sz w:val="18"/>
        </w:rPr>
        <w:t xml:space="preserve"> </w:t>
      </w:r>
      <w:r>
        <w:rPr>
          <w:rFonts w:ascii="Times New Roman" w:hAnsi="Times New Roman" w:eastAsia="Times New Roman"/>
          <w:sz w:val="18"/>
        </w:rPr>
        <w:t xml:space="preserve">ACM Transactions on Graphics 38(4), 29:1–29:14 (2019). DOI: https://doi.org/10.1145/3306346.3322980.</w:t>
      </w:r>
    </w:p>
    <w:bookmarkEnd w:id="52"/>
    <w:sectPr w:rsidR="0092557D" w:rsidRPr="00FE6218" w:rsidSect="00890C53">
      <w:headerReference r:id="rId21" w:type="default"/>
      <w:footerReference r:id="rId22" w:type="default"/>
      <w:pgSz w:code="9" w:h="16838" w:w="11906"/>
      <w:pgMar w:bottom="2801" w:footer="0" w:gutter="0" w:header="0" w:left="1094" w:right="1094" w:top="144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微软雅黑"/>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CD79" w14:textId="77777777" w:rsidR="00502948" w:rsidRPr="004830EA" w:rsidRDefault="00502948" w:rsidP="00C871DB">
    <w:pPr>
      <w:pStyle w:val="a7"/>
      <w:tabs>
        <w:tab w:val="clear" w:pos="4320"/>
        <w:tab w:val="clear" w:pos="8640"/>
        <w:tab w:val="left" w:pos="2076"/>
      </w:tabs>
      <w:rPr>
        <w:sz w:val="18"/>
        <w:szCs w:val="18"/>
      </w:rPr>
    </w:pPr>
  </w:p>
  <w:p w14:paraId="1A5E9E75" w14:textId="77777777" w:rsidR="00502948" w:rsidRDefault="00502948">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55726" w14:textId="77777777" w:rsidR="00676763" w:rsidRDefault="00676763">
    <w:pPr>
      <w:pStyle w:val="a6"/>
    </w:pPr>
  </w:p>
  <w:p w14:paraId="0F2D36E8" w14:textId="77777777" w:rsidR="00676763" w:rsidRDefault="00676763">
    <w:pPr>
      <w:pStyle w:val="a6"/>
    </w:pPr>
  </w:p>
  <w:p w14:paraId="54A01D8C" w14:textId="77777777" w:rsidR="00676763" w:rsidRDefault="00676763" w:rsidP="00E270E5">
    <w:pPr>
      <w:pStyle w:val="SPIEheader"/>
    </w:pPr>
  </w:p>
  <w:p w14:paraId="1D9A77B3" w14:textId="77777777" w:rsidR="00676763" w:rsidRDefault="00676763">
    <w:pPr>
      <w:pStyle w:val="a6"/>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FF85103"/>
    <w:multiLevelType w:val="hybridMultilevel"/>
    <w:tmpl w:val="600663C8"/>
    <w:lvl w:ilvl="0" w:tplc="44FAC01A">
      <w:start w:val="1"/>
      <w:numFmt w:val="bullet"/>
      <w:pStyle w:val="SPIEListBullet2"/>
      <w:lvlText w:val=""/>
      <w:lvlJc w:val="left"/>
      <w:pPr>
        <w:tabs>
          <w:tab w:pos="720" w:val="num"/>
        </w:tabs>
        <w:ind w:hanging="216"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13B00DA1"/>
    <w:multiLevelType w:val="multilevel"/>
    <w:tmpl w:val="BDD41AA8"/>
    <w:lvl w:ilvl="0">
      <w:start w:val="1"/>
      <w:numFmt w:val="decimal"/>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2">
    <w:nsid w:val="255D0EF4"/>
    <w:multiLevelType w:val="hybridMultilevel"/>
    <w:tmpl w:val="A21C875A"/>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3087D39"/>
    <w:multiLevelType w:val="multilevel"/>
    <w:tmpl w:val="051EA48E"/>
    <w:lvl w:ilvl="0">
      <w:start w:val="1"/>
      <w:numFmt w:val="decimal"/>
      <w:pStyle w:val="1"/>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4">
    <w:nsid w:val="3D6A4DF8"/>
    <w:multiLevelType w:val="hybridMultilevel"/>
    <w:tmpl w:val="CDA2383C"/>
    <w:lvl w:ilvl="0" w:tplc="CD7A49D0">
      <w:start w:val="1"/>
      <w:numFmt w:val="decimal"/>
      <w:pStyle w:val="SPIEreferencelisting"/>
      <w:lvlText w:val="[%1]"/>
      <w:lvlJc w:val="left"/>
      <w:pPr>
        <w:tabs>
          <w:tab w:pos="360" w:val="num"/>
        </w:tabs>
        <w:ind w:firstLine="0" w:left="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70AB1AF8"/>
    <w:multiLevelType w:val="hybridMultilevel"/>
    <w:tmpl w:val="F474B4DE"/>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74F81461"/>
    <w:multiLevelType w:val="hybridMultilevel"/>
    <w:tmpl w:val="E35E0FEE"/>
    <w:lvl w:ilvl="0" w:tplc="5154975E">
      <w:start w:val="1"/>
      <w:numFmt w:val="decimal"/>
      <w:pStyle w:val="a"/>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0518786" w:numId="1">
    <w:abstractNumId w:val="4"/>
  </w:num>
  <w:num w16cid:durableId="510922159" w:numId="2">
    <w:abstractNumId w:val="0"/>
  </w:num>
  <w:num w16cid:durableId="745110890" w:numId="3">
    <w:abstractNumId w:val="3"/>
  </w:num>
  <w:num w16cid:durableId="229117044" w:numId="4">
    <w:abstractNumId w:val="1"/>
  </w:num>
  <w:num w16cid:durableId="1650595724" w:numId="5">
    <w:abstractNumId w:val="5"/>
  </w:num>
  <w:num w16cid:durableId="506869906" w:numId="6">
    <w:abstractNumId w:val="2"/>
  </w:num>
  <w:num w16cid:durableId="1851482927" w:numId="7">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gutterAtTop/>
  <w:proofState w:grammar="clean" w:spelling="clean"/>
  <w:stylePaneFormatFilter w:allStyles="0" w:alternateStyleNames="0" w:clearFormatting="1" w:customStyles="0" w:directFormattingOnNumbering="1" w:directFormattingOnParagraphs="1" w:directFormattingOnRuns="0" w:directFormattingOnTables="0" w:headingStyles="0" w:latentStyles="0" w:numberingStyles="0" w:stylesInUse="1" w:tableStyles="0" w:top3HeadingStyles="1" w:val="3608"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martTagType w:name="address" w:namespaceuri="urn:schemas-microsoft-com:office:smarttags"/>
  <w:shapeDefaults>
    <o:shapedefaults spidmax="1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等线"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aliases w:val="SPIE Body Text"/>
    <w:qFormat/>
    <w:rsid w:val="00E04E7B"/>
    <w:rPr>
      <w:szCs w:val="24"/>
      <w:lang w:eastAsia="en-US"/>
    </w:rPr>
  </w:style>
  <w:style w:styleId="1" w:type="paragraph">
    <w:name w:val="heading 1"/>
    <w:aliases w:val="SPIE Section"/>
    <w:basedOn w:val="a0"/>
    <w:next w:val="a0"/>
    <w:autoRedefine/>
    <w:qFormat/>
    <w:rsid w:val="001F324B"/>
    <w:pPr>
      <w:keepNext/>
      <w:numPr>
        <w:numId w:val="3"/>
      </w:numPr>
      <w:spacing w:after="120" w:before="240"/>
      <w:jc w:val="center"/>
      <w:outlineLvl w:val="0"/>
    </w:pPr>
    <w:rPr>
      <w:rFonts w:cs="Arial"/>
      <w:b/>
      <w:bCs/>
      <w:caps/>
      <w:kern w:val="32"/>
      <w:sz w:val="22"/>
    </w:rPr>
  </w:style>
  <w:style w:styleId="2" w:type="paragraph">
    <w:name w:val="heading 2"/>
    <w:aliases w:val="SPIE Subsection"/>
    <w:basedOn w:val="1"/>
    <w:next w:val="SPIEbodytext"/>
    <w:autoRedefine/>
    <w:qFormat/>
    <w:rsid w:val="00126B88"/>
    <w:pPr>
      <w:numPr>
        <w:numId w:val="0"/>
      </w:numPr>
      <w:tabs>
        <w:tab w:pos="504" w:val="left"/>
        <w:tab w:pos="4140" w:val="left"/>
      </w:tabs>
      <w:spacing w:before="0"/>
      <w:jc w:val="both"/>
      <w:outlineLvl w:val="1"/>
    </w:pPr>
    <w:rPr>
      <w:bCs w:val="0"/>
      <w:caps w:val="0"/>
      <w:sz w:val="20"/>
      <w:szCs w:val="20"/>
    </w:rPr>
  </w:style>
  <w:style w:styleId="3" w:type="paragraph">
    <w:name w:val="heading 3"/>
    <w:basedOn w:val="a0"/>
    <w:next w:val="a0"/>
    <w:qFormat/>
    <w:rsid w:val="000005B8"/>
    <w:pPr>
      <w:keepNext/>
      <w:outlineLvl w:val="2"/>
    </w:pPr>
    <w:rPr>
      <w:rFonts w:ascii="Times" w:hAnsi="Times"/>
      <w:b/>
      <w:sz w:val="22"/>
      <w:szCs w:val="20"/>
    </w:rPr>
  </w:style>
  <w:style w:styleId="4" w:type="paragraph">
    <w:name w:val="heading 4"/>
    <w:basedOn w:val="a0"/>
    <w:next w:val="a0"/>
    <w:qFormat/>
    <w:rsid w:val="00DA775F"/>
    <w:pPr>
      <w:keepNext/>
      <w:spacing w:after="60" w:before="240"/>
      <w:outlineLvl w:val="3"/>
    </w:pPr>
    <w:rPr>
      <w:b/>
      <w:bCs/>
      <w:sz w:val="28"/>
      <w:szCs w:val="2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Body Text"/>
    <w:basedOn w:val="a0"/>
    <w:semiHidden/>
    <w:rPr>
      <w:rFonts w:ascii="NewsGoth BT" w:hAnsi="NewsGoth BT"/>
      <w:szCs w:val="20"/>
    </w:rPr>
  </w:style>
  <w:style w:styleId="a5" w:type="character">
    <w:name w:val="Hyperlink"/>
    <w:rPr>
      <w:color w:val="0000FF"/>
      <w:u w:val="single"/>
    </w:rPr>
  </w:style>
  <w:style w:styleId="a6" w:type="paragraph">
    <w:name w:val="header"/>
    <w:basedOn w:val="a0"/>
    <w:semiHidden/>
    <w:pPr>
      <w:tabs>
        <w:tab w:pos="4320" w:val="center"/>
        <w:tab w:pos="8640" w:val="right"/>
      </w:tabs>
    </w:pPr>
    <w:rPr>
      <w:rFonts w:ascii="Times" w:hAnsi="Times"/>
      <w:szCs w:val="20"/>
    </w:rPr>
  </w:style>
  <w:style w:customStyle="1" w:styleId="PaperTitle" w:type="paragraph">
    <w:name w:val="*Paper Title*"/>
    <w:basedOn w:val="a0"/>
    <w:next w:val="BodyofPaper"/>
    <w:link w:val="PaperTitleChar"/>
    <w:semiHidden/>
    <w:pPr>
      <w:jc w:val="center"/>
    </w:pPr>
    <w:rPr>
      <w:b/>
      <w:sz w:val="32"/>
      <w:szCs w:val="20"/>
    </w:rPr>
  </w:style>
  <w:style w:customStyle="1" w:styleId="BodyofPaper" w:type="paragraph">
    <w:name w:val="*Body of Paper*"/>
    <w:basedOn w:val="a0"/>
    <w:link w:val="BodyofPaperChar"/>
    <w:pPr>
      <w:jc w:val="both"/>
    </w:pPr>
    <w:rPr>
      <w:szCs w:val="20"/>
    </w:rPr>
  </w:style>
  <w:style w:customStyle="1" w:styleId="BodyofPaperChar" w:type="character">
    <w:name w:val="*Body of Paper* Char"/>
    <w:link w:val="BodyofPaper"/>
    <w:rsid w:val="00EE6C14"/>
    <w:rPr>
      <w:lang w:bidi="ar-SA" w:eastAsia="en-US" w:val="en-US"/>
    </w:rPr>
  </w:style>
  <w:style w:customStyle="1" w:styleId="PaperTitleChar" w:type="character">
    <w:name w:val="*Paper Title* Char"/>
    <w:link w:val="PaperTitle"/>
    <w:rsid w:val="00D80959"/>
    <w:rPr>
      <w:b/>
      <w:sz w:val="32"/>
      <w:lang w:bidi="ar-SA" w:eastAsia="en-US" w:val="en-US"/>
    </w:rPr>
  </w:style>
  <w:style w:customStyle="1" w:styleId="SPIEAuthors-Affils" w:type="paragraph">
    <w:name w:val="SPIE Authors-Affils"/>
    <w:basedOn w:val="BodyofPaper"/>
    <w:next w:val="BodyofPaper"/>
    <w:link w:val="SPIEAuthors-AffilsCharChar"/>
    <w:pPr>
      <w:jc w:val="center"/>
    </w:pPr>
    <w:rPr>
      <w:sz w:val="24"/>
    </w:rPr>
  </w:style>
  <w:style w:customStyle="1" w:styleId="SPIEAuthors-AffilsCharChar" w:type="character">
    <w:name w:val="SPIE Authors-Affils Char Char"/>
    <w:link w:val="SPIEAuthors-Affils"/>
    <w:rsid w:val="00BC6BE6"/>
    <w:rPr>
      <w:sz w:val="24"/>
      <w:lang w:bidi="ar-SA" w:eastAsia="en-US" w:val="en-US"/>
    </w:rPr>
  </w:style>
  <w:style w:customStyle="1" w:styleId="PrincipalHding" w:type="paragraph">
    <w:name w:val="*Principal Hding*"/>
    <w:basedOn w:val="a0"/>
    <w:next w:val="BodyofPaper"/>
    <w:link w:val="PrincipalHdingChar"/>
    <w:semiHidden/>
    <w:pPr>
      <w:jc w:val="center"/>
    </w:pPr>
    <w:rPr>
      <w:b/>
      <w:caps/>
      <w:sz w:val="22"/>
      <w:szCs w:val="20"/>
    </w:rPr>
  </w:style>
  <w:style w:customStyle="1" w:styleId="PrincipalHdingChar" w:type="character">
    <w:name w:val="*Principal Hding* Char"/>
    <w:link w:val="PrincipalHding"/>
    <w:rsid w:val="00CD4EFF"/>
    <w:rPr>
      <w:b/>
      <w:caps/>
      <w:sz w:val="22"/>
      <w:lang w:bidi="ar-SA" w:eastAsia="en-US" w:val="en-US"/>
    </w:rPr>
  </w:style>
  <w:style w:customStyle="1" w:styleId="Keywords" w:type="paragraph">
    <w:name w:val="*Keywords*"/>
    <w:basedOn w:val="BodyofPaper"/>
    <w:next w:val="BodyofPaper"/>
    <w:pPr>
      <w:ind w:hanging="360" w:left="360"/>
    </w:pPr>
  </w:style>
  <w:style w:customStyle="1" w:styleId="SPIEpapertitle" w:type="paragraph">
    <w:name w:val="SPIE paper title"/>
    <w:basedOn w:val="PaperTitle"/>
    <w:link w:val="SPIEpapertitleCharChar"/>
    <w:rsid w:val="007E6440"/>
    <w:pPr>
      <w:outlineLvl w:val="0"/>
    </w:pPr>
  </w:style>
  <w:style w:customStyle="1" w:styleId="SPIEpapertitleCharChar" w:type="character">
    <w:name w:val="SPIE paper title Char Char"/>
    <w:link w:val="SPIEpapertitle"/>
    <w:rsid w:val="00D80959"/>
    <w:rPr>
      <w:b/>
      <w:sz w:val="32"/>
      <w:lang w:bidi="ar-SA" w:eastAsia="en-US" w:val="en-US"/>
    </w:rPr>
  </w:style>
  <w:style w:customStyle="1" w:styleId="SPIEauthoraffils" w:type="paragraph">
    <w:name w:val="SPIE author &amp; affils"/>
    <w:basedOn w:val="SPIEAuthors-Affils"/>
    <w:link w:val="SPIEauthoraffilsChar"/>
    <w:rsid w:val="007E6440"/>
    <w:pPr>
      <w:outlineLvl w:val="0"/>
    </w:pPr>
  </w:style>
  <w:style w:customStyle="1" w:styleId="SPIEauthoraffilsChar" w:type="character">
    <w:name w:val="SPIE author &amp; affils Char"/>
    <w:link w:val="SPIEauthoraffils"/>
    <w:rsid w:val="00BC6BE6"/>
    <w:rPr>
      <w:sz w:val="24"/>
      <w:lang w:bidi="ar-SA" w:eastAsia="en-US" w:val="en-US"/>
    </w:rPr>
  </w:style>
  <w:style w:customStyle="1" w:styleId="SPIEabstracttitle" w:type="paragraph">
    <w:name w:val="SPIE abstract title"/>
    <w:basedOn w:val="PrincipalHding"/>
    <w:link w:val="SPIEabstracttitleCharChar"/>
    <w:rsid w:val="00797858"/>
    <w:pPr>
      <w:spacing w:after="240" w:before="480"/>
      <w:outlineLvl w:val="0"/>
    </w:pPr>
  </w:style>
  <w:style w:customStyle="1" w:styleId="SPIEabstracttitleCharChar" w:type="character">
    <w:name w:val="SPIE abstract title Char Char"/>
    <w:link w:val="SPIEabstracttitle"/>
    <w:rsid w:val="00CD4EFF"/>
    <w:rPr>
      <w:b/>
      <w:caps/>
      <w:sz w:val="22"/>
      <w:lang w:bidi="ar-SA" w:eastAsia="en-US" w:val="en-US"/>
    </w:rPr>
  </w:style>
  <w:style w:customStyle="1" w:styleId="SPIEbodytext" w:type="paragraph">
    <w:name w:val="SPIE body text"/>
    <w:basedOn w:val="a0"/>
    <w:link w:val="SPIEbodytextCharChar"/>
    <w:rsid w:val="00BC6BE6"/>
    <w:pPr>
      <w:spacing w:after="120"/>
      <w:jc w:val="both"/>
    </w:pPr>
  </w:style>
  <w:style w:customStyle="1" w:styleId="SPIEbodytextCharChar" w:type="character">
    <w:name w:val="SPIE body text Char Char"/>
    <w:link w:val="SPIEbodytext"/>
    <w:rsid w:val="00BC6BE6"/>
    <w:rPr>
      <w:szCs w:val="24"/>
      <w:lang w:bidi="ar-SA" w:eastAsia="en-US" w:val="en-US"/>
    </w:rPr>
  </w:style>
  <w:style w:customStyle="1" w:styleId="SPIEkeywords" w:type="paragraph">
    <w:name w:val="SPIE keywords"/>
    <w:basedOn w:val="Keywords"/>
    <w:rsid w:val="007E6440"/>
    <w:pPr>
      <w:ind w:firstLine="0" w:left="0"/>
      <w:outlineLvl w:val="0"/>
    </w:pPr>
  </w:style>
  <w:style w:customStyle="1" w:styleId="SPIEfigurecaption" w:type="paragraph">
    <w:name w:val="SPIE figure caption"/>
    <w:basedOn w:val="BodyofPaper"/>
    <w:next w:val="SPIEbodytext"/>
    <w:link w:val="SPIEfigurecaptionChar"/>
    <w:rsid w:val="00266386"/>
    <w:pPr>
      <w:spacing w:after="120"/>
      <w:ind w:hanging="360" w:left="720" w:right="360"/>
      <w:jc w:val="left"/>
    </w:pPr>
    <w:rPr>
      <w:sz w:val="18"/>
    </w:rPr>
  </w:style>
  <w:style w:customStyle="1" w:styleId="SPIEfigurecaptionChar" w:type="character">
    <w:name w:val="SPIE figure caption Char"/>
    <w:link w:val="SPIEfigurecaption"/>
    <w:rsid w:val="000166EA"/>
    <w:rPr>
      <w:sz w:val="18"/>
      <w:lang w:bidi="ar-SA" w:eastAsia="en-US" w:val="en-US"/>
    </w:rPr>
  </w:style>
  <w:style w:customStyle="1" w:styleId="SPIEreferences" w:type="paragraph">
    <w:name w:val="SPIEreferences"/>
    <w:basedOn w:val="SPIEabstracttitle"/>
    <w:rsid w:val="00E62777"/>
    <w:pPr>
      <w:keepNext/>
    </w:pPr>
    <w:rPr>
      <w:szCs w:val="22"/>
    </w:rPr>
  </w:style>
  <w:style w:customStyle="1" w:styleId="SPIEreferencelisting" w:type="paragraph">
    <w:name w:val="SPIE reference listing"/>
    <w:basedOn w:val="BodyofPaper"/>
    <w:rsid w:val="007E6440"/>
    <w:pPr>
      <w:numPr>
        <w:numId w:val="1"/>
      </w:numPr>
    </w:pPr>
  </w:style>
  <w:style w:customStyle="1" w:styleId="SPIEfootnotetext" w:type="paragraph">
    <w:name w:val="SPIE footnote text"/>
    <w:basedOn w:val="a0"/>
    <w:rsid w:val="00BC6BE6"/>
    <w:rPr>
      <w:sz w:val="18"/>
    </w:rPr>
  </w:style>
  <w:style w:styleId="a7" w:type="paragraph">
    <w:name w:val="footer"/>
    <w:basedOn w:val="a0"/>
    <w:link w:val="a8"/>
    <w:uiPriority w:val="99"/>
    <w:rsid w:val="003579F2"/>
    <w:pPr>
      <w:tabs>
        <w:tab w:pos="4320" w:val="center"/>
        <w:tab w:pos="8640" w:val="right"/>
      </w:tabs>
    </w:pPr>
  </w:style>
  <w:style w:customStyle="1" w:styleId="SPIEfigure" w:type="paragraph">
    <w:name w:val="SPIE figure"/>
    <w:basedOn w:val="SPIEbodytext"/>
    <w:next w:val="SPIEfigurecaption"/>
    <w:rsid w:val="0031785E"/>
    <w:pPr>
      <w:keepNext/>
      <w:spacing w:before="120"/>
      <w:jc w:val="center"/>
    </w:pPr>
  </w:style>
  <w:style w:customStyle="1" w:styleId="SPIEfigureright" w:type="paragraph">
    <w:name w:val="SPIE figure right"/>
    <w:basedOn w:val="SPIEfigure"/>
    <w:rsid w:val="00266386"/>
    <w:pPr>
      <w:jc w:val="right"/>
    </w:pPr>
  </w:style>
  <w:style w:customStyle="1" w:styleId="SPIEheader" w:type="paragraph">
    <w:name w:val="SPIE header"/>
    <w:basedOn w:val="SPIEbodytext"/>
    <w:next w:val="SPIEbodytext"/>
    <w:rsid w:val="00C438AD"/>
    <w:pPr>
      <w:spacing w:after="0"/>
      <w:ind w:left="360" w:right="360"/>
      <w:jc w:val="left"/>
    </w:pPr>
    <w:rPr>
      <w:sz w:val="18"/>
      <w:szCs w:val="18"/>
    </w:rPr>
  </w:style>
  <w:style w:customStyle="1" w:styleId="SPIEtablecaption" w:type="paragraph">
    <w:name w:val="SPIE table caption"/>
    <w:basedOn w:val="SPIEfigurecaption"/>
    <w:link w:val="SPIEtablecaptionChar"/>
    <w:rsid w:val="000309E9"/>
  </w:style>
  <w:style w:customStyle="1" w:styleId="SPIEtablecaptionChar" w:type="character">
    <w:name w:val="SPIE table caption Char"/>
    <w:link w:val="SPIEtablecaption"/>
    <w:rsid w:val="000166EA"/>
    <w:rPr>
      <w:sz w:val="18"/>
      <w:lang w:bidi="ar-SA" w:eastAsia="en-US" w:val="en-US"/>
    </w:rPr>
  </w:style>
  <w:style w:customStyle="1" w:styleId="SPIEListBullet2" w:type="paragraph">
    <w:name w:val="SPIE List Bullet 2"/>
    <w:basedOn w:val="SPIEbodytext"/>
    <w:rsid w:val="003611D5"/>
    <w:pPr>
      <w:numPr>
        <w:numId w:val="2"/>
      </w:numPr>
    </w:pPr>
  </w:style>
  <w:style w:customStyle="1" w:styleId="SPIEabstractbodytext" w:type="paragraph">
    <w:name w:val="SPIE abstract body text"/>
    <w:basedOn w:val="SPIEbodytext"/>
    <w:link w:val="SPIEabstractbodytextCharChar"/>
    <w:rsid w:val="004A400F"/>
  </w:style>
  <w:style w:customStyle="1" w:styleId="SPIEabstractbodytextCharChar" w:type="character">
    <w:name w:val="SPIE abstract body text Char Char"/>
    <w:link w:val="SPIEabstractbodytext"/>
    <w:rsid w:val="00CD4EFF"/>
    <w:rPr>
      <w:szCs w:val="24"/>
      <w:lang w:bidi="ar-SA" w:eastAsia="en-US" w:val="en-US"/>
    </w:rPr>
  </w:style>
  <w:style w:styleId="a9" w:type="paragraph">
    <w:name w:val="Balloon Text"/>
    <w:basedOn w:val="a0"/>
    <w:semiHidden/>
    <w:rsid w:val="00E00703"/>
    <w:rPr>
      <w:rFonts w:ascii="Tahoma" w:cs="Tahoma" w:hAnsi="Tahoma"/>
      <w:sz w:val="16"/>
      <w:szCs w:val="16"/>
    </w:rPr>
  </w:style>
  <w:style w:customStyle="1" w:styleId="SPIEkeywordsbold" w:type="paragraph">
    <w:name w:val="SPIE keywords bold"/>
    <w:basedOn w:val="Keywords"/>
    <w:rsid w:val="000166EA"/>
    <w:rPr>
      <w:b/>
      <w:bCs/>
    </w:rPr>
  </w:style>
  <w:style w:customStyle="1" w:styleId="StyleSPIEfigurecaption" w:type="paragraph">
    <w:name w:val="Style SPIE figure caption"/>
    <w:basedOn w:val="SPIEfigurecaption"/>
    <w:rsid w:val="000166EA"/>
    <w:pPr>
      <w:jc w:val="both"/>
    </w:pPr>
  </w:style>
  <w:style w:styleId="aa" w:type="character">
    <w:name w:val="annotation reference"/>
    <w:semiHidden/>
    <w:rsid w:val="0019055E"/>
    <w:rPr>
      <w:sz w:val="16"/>
      <w:szCs w:val="16"/>
    </w:rPr>
  </w:style>
  <w:style w:styleId="ab" w:type="paragraph">
    <w:name w:val="annotation text"/>
    <w:basedOn w:val="a0"/>
    <w:semiHidden/>
    <w:rsid w:val="0019055E"/>
    <w:rPr>
      <w:szCs w:val="20"/>
    </w:rPr>
  </w:style>
  <w:style w:styleId="ac" w:type="paragraph">
    <w:name w:val="annotation subject"/>
    <w:basedOn w:val="ab"/>
    <w:next w:val="ab"/>
    <w:semiHidden/>
    <w:rsid w:val="0019055E"/>
    <w:rPr>
      <w:b/>
      <w:bCs/>
    </w:rPr>
  </w:style>
  <w:style w:customStyle="1" w:styleId="body31" w:type="character">
    <w:name w:val="body31"/>
    <w:rsid w:val="00FE6218"/>
    <w:rPr>
      <w:rFonts w:ascii="Verdana" w:hAnsi="Verdana" w:hint="default"/>
      <w:color w:val="000000"/>
      <w:sz w:val="13"/>
      <w:szCs w:val="13"/>
    </w:rPr>
  </w:style>
  <w:style w:styleId="ad" w:type="character">
    <w:name w:val="Strong"/>
    <w:qFormat/>
    <w:rsid w:val="00FE6218"/>
    <w:rPr>
      <w:b/>
      <w:bCs/>
    </w:rPr>
  </w:style>
  <w:style w:customStyle="1" w:styleId="a8" w:type="character">
    <w:name w:val="页脚 字符"/>
    <w:link w:val="a7"/>
    <w:uiPriority w:val="99"/>
    <w:rsid w:val="00502948"/>
    <w:rPr>
      <w:sz w:val="24"/>
      <w:szCs w:val="24"/>
    </w:rPr>
  </w:style>
  <w:style w:styleId="ae" w:type="character">
    <w:name w:val="Unresolved Mention"/>
    <w:uiPriority w:val="99"/>
    <w:semiHidden/>
    <w:unhideWhenUsed/>
    <w:rsid w:val="00F16D3D"/>
    <w:rPr>
      <w:color w:val="605E5C"/>
      <w:shd w:color="auto" w:fill="E1DFDD" w:val="clear"/>
    </w:rPr>
  </w:style>
  <w:style w:styleId="af" w:type="paragraph">
    <w:name w:val="Subtitle"/>
    <w:aliases w:val="Captions and Footnotes"/>
    <w:basedOn w:val="a0"/>
    <w:next w:val="a0"/>
    <w:link w:val="af0"/>
    <w:qFormat/>
    <w:rsid w:val="00E04E7B"/>
    <w:pPr>
      <w:spacing w:after="60"/>
      <w:ind w:left="720"/>
      <w:outlineLvl w:val="1"/>
    </w:pPr>
    <w:rPr>
      <w:rFonts w:eastAsia="Yu Gothic Light"/>
      <w:sz w:val="18"/>
    </w:rPr>
  </w:style>
  <w:style w:customStyle="1" w:styleId="af0" w:type="character">
    <w:name w:val="副标题 字符"/>
    <w:aliases w:val="Captions and Footnotes 字符"/>
    <w:link w:val="af"/>
    <w:rsid w:val="00E04E7B"/>
    <w:rPr>
      <w:rFonts w:cs="Times New Roman" w:eastAsia="Yu Gothic Light"/>
      <w:sz w:val="18"/>
      <w:szCs w:val="24"/>
      <w:lang w:eastAsia="en-US"/>
    </w:rPr>
  </w:style>
  <w:style w:styleId="a" w:type="paragraph">
    <w:name w:val="List Paragraph"/>
    <w:aliases w:val="Reference List"/>
    <w:basedOn w:val="a0"/>
    <w:uiPriority w:val="34"/>
    <w:qFormat/>
    <w:rsid w:val="00E04E7B"/>
    <w:pPr>
      <w:numPr>
        <w:numId w:val="7"/>
      </w:numPr>
      <w:ind w:left="360"/>
    </w:pPr>
  </w:style>
  <w:style w:styleId="af1" w:type="paragraph">
    <w:name w:val="Title"/>
    <w:basedOn w:val="a0"/>
    <w:next w:val="a0"/>
    <w:link w:val="af2"/>
    <w:qFormat/>
    <w:rsid w:val="00FC0E5E"/>
    <w:pPr>
      <w:spacing w:after="60" w:before="240"/>
      <w:jc w:val="center"/>
      <w:outlineLvl w:val="0"/>
    </w:pPr>
    <w:rPr>
      <w:rFonts w:eastAsia="Yu Gothic Light"/>
      <w:b/>
      <w:bCs/>
      <w:kern w:val="28"/>
      <w:sz w:val="32"/>
      <w:szCs w:val="32"/>
    </w:rPr>
  </w:style>
  <w:style w:customStyle="1" w:styleId="af2" w:type="character">
    <w:name w:val="标题 字符"/>
    <w:link w:val="af1"/>
    <w:rsid w:val="00FC0E5E"/>
    <w:rPr>
      <w:rFonts w:cs="Times New Roman" w:eastAsia="Yu Gothic Light"/>
      <w:b/>
      <w:bCs/>
      <w:kern w:val="28"/>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8" Type="http://schemas.openxmlformats.org/officeDocument/2006/relationships/image" Target="media/image1.jpeg"/><Relationship Id="rId13" Type="http://schemas.openxmlformats.org/officeDocument/2006/relationships/image" Target="media/image3.wmf"/><Relationship Id="rId21" Type="http://schemas.openxmlformats.org/officeDocument/2006/relationships/header" Target="header1.xml"/><Relationship Id="rId11" Type="http://schemas.openxmlformats.org/officeDocument/2006/relationships/image" Target="media/image2.wmf"/><Relationship Id="rId15" Type="http://schemas.openxmlformats.org/officeDocument/2006/relationships/image" Target="media/image4.wmf"/><Relationship Id="rId19" Type="http://schemas.openxmlformats.org/officeDocument/2006/relationships/image" Target="media/image5.png"/><Relationship Id="rId22" Type="http://schemas.openxmlformats.org/officeDocument/2006/relationships/footer" Target="footer1.xml"/><Relationship Id="rId34" Type="http://schemas.openxmlformats.org/officeDocument/2006/relationships/image" Target="media/rId34.png"/><Relationship Id="rId46" Type="http://schemas.openxmlformats.org/officeDocument/2006/relationships/image" Target="media/rId46.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7272</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SynGS manuscript for SPIE A4 Word export</dc:title>
  <dc:creator/>
  <cp:keywords/>
  <dcterms:created xsi:type="dcterms:W3CDTF">2026-10-21T12:04:02Z</dcterms:created>
  <dcterms:modified xsi:type="dcterms:W3CDTF">2026-10-21T12:04:02Z</dcterms:modified>
</cp:coreProperties>
</file>

<file path=docProps/custom.xml><?xml version="1.0" encoding="utf-8"?>
<Properties xmlns="http://schemas.openxmlformats.org/officeDocument/2006/custom-properties" xmlns:vt="http://schemas.openxmlformats.org/officeDocument/2006/docPropsVTypes"/>
</file>