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E681">
      <w:pPr>
        <w:pStyle w:val="29"/>
        <w:jc w:val="center"/>
      </w:pPr>
      <w:r>
        <w:rPr>
          <w:rFonts w:ascii="Times New Roman" w:hAnsi="Times New Roman" w:eastAsia="Times New Roman"/>
          <w:b/>
          <w:sz w:val="32"/>
        </w:rPr>
        <w:t>SynGS: Synergizing explicit geometry and transformer depth priors for sparse-view 3D Gaussian Splatting</w:t>
      </w:r>
    </w:p>
    <w:p w14:paraId="2CCBF1DF">
      <w:pPr>
        <w:pStyle w:val="24"/>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cs="Times New Roman"/>
          <w:sz w:val="24"/>
          <w:szCs w:val="24"/>
        </w:rPr>
        <w:t>, and Lian Duan</w:t>
      </w:r>
      <w:r>
        <w:rPr>
          <w:rFonts w:ascii="Times New Roman" w:hAnsi="Times New Roman" w:eastAsia="Times New Roman" w:cs="Times New Roman"/>
          <w:sz w:val="24"/>
          <w:szCs w:val="24"/>
          <w:vertAlign w:val="superscript"/>
        </w:rPr>
        <w:t>a</w:t>
      </w:r>
    </w:p>
    <w:p w14:paraId="2C9D7CCD">
      <w:pPr>
        <w:pStyle w:val="24"/>
        <w:jc w:val="center"/>
        <w:rPr>
          <w:sz w:val="24"/>
          <w:szCs w:val="24"/>
        </w:rPr>
      </w:pPr>
      <w:r>
        <w:rPr>
          <w:rFonts w:ascii="Times New Roman" w:hAnsi="Times New Roman" w:eastAsia="Times New Roman"/>
          <w:sz w:val="24"/>
          <w:szCs w:val="24"/>
          <w:vertAlign w:val="superscript"/>
        </w:rPr>
        <w:t>a</w:t>
      </w:r>
      <w:r>
        <w:rPr>
          <w:rFonts w:ascii="Times New Roman" w:hAnsi="Times New Roman" w:eastAsia="Times New Roman"/>
          <w:sz w:val="24"/>
          <w:szCs w:val="24"/>
        </w:rPr>
        <w:t>Communication University of China, State Key Laboratory of Media Convergence and Communication, Intelligent Network and Media Research Center, No. 1 Dingfuzhuang East Street, Chaoyang District, Beijing 100024, China</w:t>
      </w:r>
    </w:p>
    <w:p w14:paraId="07BEAA12">
      <w:pPr>
        <w:pStyle w:val="4"/>
        <w:jc w:val="center"/>
      </w:pPr>
      <w:r>
        <w:rPr>
          <w:rFonts w:ascii="Times New Roman" w:hAnsi="Times New Roman" w:eastAsia="Times New Roman"/>
          <w:sz w:val="20"/>
        </w:rPr>
        <w:t>*J.G.: E-mail: gjj@cuc.edu.cn</w:t>
      </w:r>
    </w:p>
    <w:p w14:paraId="0C9B00D6">
      <w:pPr>
        <w:pStyle w:val="33"/>
        <w:jc w:val="center"/>
      </w:pPr>
      <w:bookmarkStart w:id="11" w:name="_GoBack"/>
      <w:bookmarkEnd w:id="11"/>
      <w:r>
        <w:rPr>
          <w:rFonts w:ascii="Times New Roman" w:hAnsi="Times New Roman" w:eastAsia="Times New Roman"/>
          <w:b/>
          <w:sz w:val="22"/>
        </w:rPr>
        <w:t>Abstract</w:t>
      </w:r>
    </w:p>
    <w:p w14:paraId="019CB96E">
      <w:pPr>
        <w:pStyle w:val="48"/>
        <w:jc w:val="both"/>
      </w:pPr>
      <w:r>
        <w:rPr>
          <w:rFonts w:ascii="Times New Roman" w:hAnsi="Times New Roman" w:eastAsia="Times New Roman"/>
          <w:sz w:val="20"/>
        </w:rPr>
        <w:t>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On the Mip-NeRF 360 dataset, SynGS achieves gains of up to 3.56 dB in PSNR and 0.025 in SSIM under sparse-view settings.</w:t>
      </w:r>
    </w:p>
    <w:p w14:paraId="27D2555A">
      <w:pPr>
        <w:pStyle w:val="36"/>
      </w:pPr>
      <w:r>
        <w:rPr>
          <w:rFonts w:hint="default" w:ascii="Times New Roman Bold" w:hAnsi="Times New Roman Bold" w:eastAsia="Times New Roman" w:cs="Times New Roman Bold"/>
          <w:b/>
          <w:bCs/>
          <w:sz w:val="20"/>
        </w:rPr>
        <w:t>Keywords:</w:t>
      </w:r>
      <w:r>
        <w:rPr>
          <w:rFonts w:ascii="Times New Roman" w:hAnsi="Times New Roman" w:eastAsia="Times New Roman"/>
          <w:sz w:val="20"/>
        </w:rPr>
        <w:t xml:space="preserve"> Novel View Synthesis, 3D Gaussian Splatting, Few-shot reconstruction, Geometry Prior-Guided Reconstruction, Vision Transformer</w:t>
      </w:r>
    </w:p>
    <w:p w14:paraId="3821325C">
      <w:pPr>
        <w:pStyle w:val="2"/>
      </w:pPr>
      <w:r>
        <w:rPr>
          <w:rFonts w:ascii="Times New Roman" w:hAnsi="Times New Roman" w:eastAsia="Times New Roman"/>
          <w:b/>
          <w:sz w:val="22"/>
        </w:rPr>
        <w:t>INTRODUCTION</w:t>
      </w:r>
    </w:p>
    <w:p w14:paraId="7B3DE848">
      <w:pPr>
        <w:pStyle w:val="4"/>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 </w:t>
      </w:r>
      <w:r>
        <w:rPr>
          <w:rFonts w:ascii="Times New Roman" w:hAnsi="Times New Roman" w:eastAsia="Times New Roman"/>
          <w:sz w:val="20"/>
          <w:vertAlign w:val="superscript"/>
        </w:rPr>
        <w:t>[1]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 </w:t>
      </w:r>
      <w:r>
        <w:rPr>
          <w:rFonts w:ascii="Times New Roman" w:hAnsi="Times New Roman" w:eastAsia="Times New Roman"/>
          <w:sz w:val="20"/>
          <w:vertAlign w:val="superscript"/>
        </w:rPr>
        <w:t>[2]</w:t>
      </w:r>
      <w:r>
        <w:rPr>
          <w:rFonts w:ascii="Times New Roman" w:hAnsi="Times New Roman" w:eastAsia="Times New Roman"/>
          <w:sz w:val="20"/>
        </w:rPr>
        <w:t>. Kerbl et al. </w:t>
      </w:r>
      <w:r>
        <w:rPr>
          <w:rFonts w:ascii="Times New Roman" w:hAnsi="Times New Roman" w:eastAsia="Times New Roman"/>
          <w:sz w:val="20"/>
          <w:vertAlign w:val="superscript"/>
        </w:rPr>
        <w:t>[3]</w:t>
      </w:r>
      <w:r>
        <w:rPr>
          <w:rFonts w:ascii="Times New Roman" w:hAnsi="Times New Roman" w:eastAsia="Times New Roman"/>
          <w:sz w:val="20"/>
        </w:rPr>
        <w:t xml:space="preserve"> introduced 3D Gaussian Splatting (3DGS); with tiled rasterization it enables rapid training and real-time rendering , and subsequent variants improve structured, alias-free rendering </w:t>
      </w:r>
      <w:r>
        <w:rPr>
          <w:rFonts w:ascii="Times New Roman" w:hAnsi="Times New Roman" w:eastAsia="Times New Roman"/>
          <w:sz w:val="20"/>
          <w:vertAlign w:val="superscript"/>
        </w:rPr>
        <w:t>[4,5]</w:t>
      </w:r>
      <w:r>
        <w:rPr>
          <w:rFonts w:ascii="Times New Roman" w:hAnsi="Times New Roman" w:eastAsia="Times New Roman"/>
          <w:sz w:val="20"/>
        </w:rPr>
        <w:t xml:space="preserve">. 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recovers incomplete point clouds. Since 3DGS relies on SfM cameras and sparse points for initialization, weak coverage harms geometric convergence </w:t>
      </w:r>
      <w:r>
        <w:rPr>
          <w:rFonts w:ascii="Times New Roman" w:hAnsi="Times New Roman" w:eastAsia="Times New Roman"/>
          <w:sz w:val="20"/>
          <w:vertAlign w:val="superscript"/>
        </w:rPr>
        <w:t>[7]</w:t>
      </w:r>
      <w:r>
        <w:rPr>
          <w:rFonts w:ascii="Times New Roman" w:hAnsi="Times New Roman" w:eastAsia="Times New Roman"/>
          <w:sz w:val="20"/>
        </w:rPr>
        <w:t xml:space="preserve">. Limited cross-view constraints further cause floaters and pseudo-geometry </w:t>
      </w:r>
      <w:r>
        <w:rPr>
          <w:rFonts w:ascii="Times New Roman" w:hAnsi="Times New Roman" w:eastAsia="Times New Roman"/>
          <w:sz w:val="20"/>
          <w:vertAlign w:val="superscript"/>
        </w:rPr>
        <w:t>[8]</w:t>
      </w:r>
      <w:r>
        <w:rPr>
          <w:rFonts w:ascii="Times New Roman" w:hAnsi="Times New Roman" w:eastAsia="Times New Roman"/>
          <w:sz w:val="20"/>
        </w:rPr>
        <w:t xml:space="preserve">, while sparse supervision </w:t>
      </w:r>
      <w:r>
        <w:rPr>
          <w:rFonts w:ascii="Times New Roman" w:hAnsi="Times New Roman" w:eastAsia="Times New Roman"/>
          <w:sz w:val="20"/>
          <w:vertAlign w:val="superscript"/>
        </w:rPr>
        <w:t>[9]</w:t>
      </w:r>
      <w:r>
        <w:rPr>
          <w:rFonts w:ascii="Times New Roman" w:hAnsi="Times New Roman" w:eastAsia="Times New Roman"/>
          <w:sz w:val="20"/>
        </w:rPr>
        <w:t xml:space="preserve"> and visibility imbalance aggravate overfitting </w:t>
      </w:r>
      <w:r>
        <w:rPr>
          <w:rFonts w:ascii="Times New Roman" w:hAnsi="Times New Roman" w:eastAsia="Times New Roman"/>
          <w:sz w:val="20"/>
          <w:vertAlign w:val="superscript"/>
        </w:rPr>
        <w:t>[10]</w:t>
      </w:r>
      <w:r>
        <w:rPr>
          <w:rFonts w:ascii="Times New Roman" w:hAnsi="Times New Roman" w:eastAsia="Times New Roman"/>
          <w:sz w:val="20"/>
        </w:rPr>
        <w:t>.</w:t>
      </w:r>
    </w:p>
    <w:p w14:paraId="5E836724">
      <w:pPr>
        <w:pStyle w:val="4"/>
        <w:jc w:val="both"/>
      </w:pPr>
      <w:r>
        <w:rPr>
          <w:rFonts w:ascii="Times New Roman" w:hAnsi="Times New Roman" w:eastAsia="Times New Roman"/>
          <w:sz w:val="20"/>
        </w:rPr>
        <w:t xml:space="preserve">Existing sparse-view methods explore depth regularization </w:t>
      </w:r>
      <w:r>
        <w:rPr>
          <w:rFonts w:ascii="Times New Roman" w:hAnsi="Times New Roman" w:eastAsia="Times New Roman"/>
          <w:sz w:val="20"/>
          <w:vertAlign w:val="superscript"/>
        </w:rPr>
        <w:t>[11]</w:t>
      </w:r>
      <w:r>
        <w:rPr>
          <w:rFonts w:ascii="Times New Roman" w:hAnsi="Times New Roman" w:eastAsia="Times New Roman"/>
          <w:sz w:val="20"/>
        </w:rPr>
        <w:t xml:space="preserve"> and densification </w:t>
      </w:r>
      <w:r>
        <w:rPr>
          <w:rFonts w:ascii="Times New Roman" w:hAnsi="Times New Roman" w:eastAsia="Times New Roman"/>
          <w:sz w:val="20"/>
          <w:vertAlign w:val="superscript"/>
        </w:rPr>
        <w:t>[12]</w:t>
      </w:r>
      <w:r>
        <w:rPr>
          <w:rFonts w:ascii="Times New Roman" w:hAnsi="Times New Roman" w:eastAsia="Times New Roman"/>
          <w:sz w:val="20"/>
        </w:rPr>
        <w:t xml:space="preserve">, or co-regularization and Gaussian dropout </w:t>
      </w:r>
      <w:r>
        <w:rPr>
          <w:rFonts w:ascii="Times New Roman" w:hAnsi="Times New Roman" w:eastAsia="Times New Roman"/>
          <w:sz w:val="20"/>
          <w:vertAlign w:val="superscript"/>
        </w:rPr>
        <w:t>[13,9]</w:t>
      </w:r>
      <w:r>
        <w:rPr>
          <w:rFonts w:ascii="Times New Roman" w:hAnsi="Times New Roman" w:eastAsia="Times New Roman"/>
          <w:sz w:val="20"/>
        </w:rPr>
        <w:t>, but still struggle with fine structures and geometric consistency. We present SynGS, which strengthens Gaussian initialization with explicit geometric constraints and depth-guided densification, and applies Dynamic Visibility Regularization to reduce overfitting. The main contributions are:</w:t>
      </w:r>
    </w:p>
    <w:p w14:paraId="2B8CB4DA">
      <w:pPr>
        <w:pStyle w:val="4"/>
        <w:numPr>
          <w:ilvl w:val="0"/>
          <w:numId w:val="5"/>
        </w:numPr>
        <w:jc w:val="both"/>
      </w:pPr>
      <w:r>
        <w:rPr>
          <w:rFonts w:ascii="Times New Roman" w:hAnsi="Times New Roman" w:eastAsia="Times New Roman"/>
          <w:b/>
          <w:bCs/>
          <w:sz w:val="20"/>
        </w:rPr>
        <w:t>Visual Hull Initialization.</w:t>
      </w:r>
      <w:r>
        <w:rPr>
          <w:rFonts w:ascii="Times New Roman" w:hAnsi="Times New Roman" w:eastAsia="Times New Roman"/>
          <w:sz w:val="20"/>
        </w:rPr>
        <w:t xml:space="preserve"> We construct a visual hull from multi-view silhouettes as a stable geometric prior for Gaussian initialization.</w:t>
      </w:r>
    </w:p>
    <w:p w14:paraId="3B53E6FF">
      <w:pPr>
        <w:pStyle w:val="4"/>
        <w:numPr>
          <w:ilvl w:val="0"/>
          <w:numId w:val="5"/>
        </w:numPr>
        <w:jc w:val="both"/>
      </w:pPr>
      <w:r>
        <w:rPr>
          <w:rFonts w:ascii="Times New Roman" w:hAnsi="Times New Roman" w:eastAsia="Times New Roman"/>
          <w:b/>
          <w:bCs/>
          <w:sz w:val="20"/>
        </w:rPr>
        <w:t>VGGT-Guided Densification.</w:t>
      </w:r>
      <w:r>
        <w:rPr>
          <w:rFonts w:ascii="Times New Roman" w:hAnsi="Times New Roman" w:eastAsia="Times New Roman"/>
          <w:sz w:val="20"/>
        </w:rPr>
        <w:t xml:space="preserve"> We back-project cross-view consistent depth predictions to supplement missing geometry for Gaussian initialization.</w:t>
      </w:r>
    </w:p>
    <w:p w14:paraId="71E7396E">
      <w:pPr>
        <w:pStyle w:val="4"/>
        <w:numPr>
          <w:ilvl w:val="0"/>
          <w:numId w:val="5"/>
        </w:numPr>
        <w:jc w:val="both"/>
      </w:pPr>
      <w:r>
        <w:rPr>
          <w:rFonts w:ascii="Times New Roman" w:hAnsi="Times New Roman" w:eastAsia="Times New Roman"/>
          <w:b/>
          <w:bCs/>
          <w:sz w:val="20"/>
        </w:rPr>
        <w:t>Dynamic Visibility Regularization.</w:t>
      </w:r>
      <w:r>
        <w:rPr>
          <w:rFonts w:ascii="Times New Roman" w:hAnsi="Times New Roman" w:eastAsia="Times New Roman"/>
          <w:sz w:val="20"/>
        </w:rPr>
        <w:t xml:space="preserve"> We randomly mask Gaussian primitives during training to rebalance gradients and alleviate sparse-view overfitting.</w:t>
      </w:r>
    </w:p>
    <w:p w14:paraId="5DA6E945">
      <w:pPr>
        <w:pStyle w:val="2"/>
      </w:pPr>
      <w:bookmarkStart w:id="0" w:name="_c402fc6a47ec8bb5e751ab4b29e0fc7601a51bb"/>
      <w:r>
        <w:rPr>
          <w:rFonts w:ascii="Times New Roman" w:hAnsi="Times New Roman" w:eastAsia="Times New Roman"/>
          <w:b/>
          <w:sz w:val="22"/>
        </w:rPr>
        <w:t>RELATED WORK</w:t>
      </w:r>
    </w:p>
    <w:p w14:paraId="67F9DB0F">
      <w:pPr>
        <w:pStyle w:val="4"/>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 </w:t>
      </w:r>
      <w:r>
        <w:rPr>
          <w:rFonts w:ascii="Times New Roman" w:hAnsi="Times New Roman" w:eastAsia="Times New Roman"/>
          <w:sz w:val="20"/>
          <w:vertAlign w:val="superscript"/>
        </w:rPr>
        <w:t>[14]</w:t>
      </w:r>
      <w:r>
        <w:rPr>
          <w:rFonts w:ascii="Times New Roman" w:hAnsi="Times New Roman" w:eastAsia="Times New Roman"/>
          <w:sz w:val="20"/>
        </w:rPr>
        <w:t xml:space="preserve">. Under sparse views, however, insufficient observations cause severe geometric ambiguity. Depth-guided approaches further improve structural consistency </w:t>
      </w:r>
      <w:r>
        <w:rPr>
          <w:rFonts w:ascii="Times New Roman" w:hAnsi="Times New Roman" w:eastAsia="Times New Roman"/>
          <w:sz w:val="20"/>
          <w:vertAlign w:val="superscript"/>
        </w:rPr>
        <w:t>[15,16]</w:t>
      </w:r>
      <w:r>
        <w:rPr>
          <w:rFonts w:ascii="Times New Roman" w:hAnsi="Times New Roman" w:eastAsia="Times New Roman"/>
          <w:sz w:val="20"/>
        </w:rPr>
        <w:t xml:space="preserve">, while other methods constrain unobserved regions </w:t>
      </w:r>
      <w:r>
        <w:rPr>
          <w:rFonts w:ascii="Times New Roman" w:hAnsi="Times New Roman" w:eastAsia="Times New Roman"/>
          <w:sz w:val="20"/>
          <w:vertAlign w:val="superscript"/>
        </w:rPr>
        <w:t>[2]</w:t>
      </w:r>
      <w:r>
        <w:rPr>
          <w:rFonts w:ascii="Times New Roman" w:hAnsi="Times New Roman" w:eastAsia="Times New Roman"/>
          <w:sz w:val="20"/>
        </w:rPr>
        <w:t xml:space="preserve">, jointly refine noisy poses </w:t>
      </w:r>
      <w:r>
        <w:rPr>
          <w:rFonts w:ascii="Times New Roman" w:hAnsi="Times New Roman" w:eastAsia="Times New Roman"/>
          <w:sz w:val="20"/>
          <w:vertAlign w:val="superscript"/>
        </w:rPr>
        <w:t>[17]</w:t>
      </w:r>
      <w:r>
        <w:rPr>
          <w:rFonts w:ascii="Times New Roman" w:hAnsi="Times New Roman" w:eastAsia="Times New Roman"/>
          <w:sz w:val="20"/>
        </w:rPr>
        <w:t xml:space="preserve">, or leverage diffusion priors </w:t>
      </w:r>
      <w:r>
        <w:rPr>
          <w:rFonts w:ascii="Times New Roman" w:hAnsi="Times New Roman" w:eastAsia="Times New Roman"/>
          <w:sz w:val="20"/>
          <w:vertAlign w:val="superscript"/>
        </w:rPr>
        <w:t>[18]</w:t>
      </w:r>
      <w:r>
        <w:rPr>
          <w:rFonts w:ascii="Times New Roman" w:hAnsi="Times New Roman" w:eastAsia="Times New Roman"/>
          <w:sz w:val="20"/>
        </w:rPr>
        <w:t xml:space="preserve">. Grid-based anti-aliased variants such as Zip-NeRF further improve efficiency and rendering fidelity </w:t>
      </w:r>
      <w:r>
        <w:rPr>
          <w:rFonts w:ascii="Times New Roman" w:hAnsi="Times New Roman" w:eastAsia="Times New Roman"/>
          <w:sz w:val="20"/>
          <w:vertAlign w:val="superscript"/>
        </w:rPr>
        <w:t>[19]</w:t>
      </w:r>
      <w:r>
        <w:rPr>
          <w:rFonts w:ascii="Times New Roman" w:hAnsi="Times New Roman" w:eastAsia="Times New Roman"/>
          <w:sz w:val="20"/>
        </w:rPr>
        <w:t xml:space="preserve">, and baked neural surfaces enable real-time mesh-based view synthesis </w:t>
      </w:r>
      <w:r>
        <w:rPr>
          <w:rFonts w:ascii="Times New Roman" w:hAnsi="Times New Roman" w:eastAsia="Times New Roman"/>
          <w:sz w:val="20"/>
          <w:vertAlign w:val="superscript"/>
        </w:rPr>
        <w:t>[20]</w:t>
      </w:r>
      <w:r>
        <w:rPr>
          <w:rFonts w:ascii="Times New Roman" w:hAnsi="Times New Roman" w:eastAsia="Times New Roman"/>
          <w:sz w:val="20"/>
        </w:rPr>
        <w:t xml:space="preserve">. 3D Gaussian Splatting (3DGS) introduces an explicit scene representation based on optimizable Gaussian primitives and enables efficient training and real-time rendering through differentiable rasterization </w:t>
      </w:r>
      <w:r>
        <w:rPr>
          <w:rFonts w:ascii="Times New Roman" w:hAnsi="Times New Roman" w:eastAsia="Times New Roman"/>
          <w:sz w:val="20"/>
          <w:vertAlign w:val="superscript"/>
        </w:rPr>
        <w:t>[3]</w:t>
      </w:r>
      <w:r>
        <w:rPr>
          <w:rFonts w:ascii="Times New Roman" w:hAnsi="Times New Roman" w:eastAsia="Times New Roman"/>
          <w:sz w:val="20"/>
        </w:rPr>
        <w:t xml:space="preserve">. Beyond the original formulation, structured and anti-aliased Gaussian representations improve robustness and multi-scale rendering </w:t>
      </w:r>
      <w:r>
        <w:rPr>
          <w:rFonts w:ascii="Times New Roman" w:hAnsi="Times New Roman" w:eastAsia="Times New Roman"/>
          <w:sz w:val="20"/>
          <w:vertAlign w:val="superscript"/>
        </w:rPr>
        <w:t>[4,5]</w:t>
      </w:r>
      <w:r>
        <w:rPr>
          <w:rFonts w:ascii="Times New Roman" w:hAnsi="Times New Roman" w:eastAsia="Times New Roman"/>
          <w:sz w:val="20"/>
        </w:rPr>
        <w:t xml:space="preserve">, while surface-aligned variants target more accurate geometry recovery </w:t>
      </w:r>
      <w:r>
        <w:rPr>
          <w:rFonts w:ascii="Times New Roman" w:hAnsi="Times New Roman" w:eastAsia="Times New Roman"/>
          <w:sz w:val="20"/>
          <w:vertAlign w:val="superscript"/>
        </w:rPr>
        <w:t>[21,22]</w:t>
      </w:r>
      <w:r>
        <w:rPr>
          <w:rFonts w:ascii="Times New Roman" w:hAnsi="Times New Roman" w:eastAsia="Times New Roman"/>
          <w:sz w:val="20"/>
        </w:rPr>
        <w:t xml:space="preserve">. Depth-based approaches add geometric supervision </w:t>
      </w:r>
      <w:r>
        <w:rPr>
          <w:rFonts w:ascii="Times New Roman" w:hAnsi="Times New Roman" w:eastAsia="Times New Roman"/>
          <w:sz w:val="20"/>
          <w:vertAlign w:val="superscript"/>
        </w:rPr>
        <w:t>[11]</w:t>
      </w:r>
      <w:r>
        <w:rPr>
          <w:rFonts w:ascii="Times New Roman" w:hAnsi="Times New Roman" w:eastAsia="Times New Roman"/>
          <w:sz w:val="20"/>
        </w:rPr>
        <w:t xml:space="preserve">, densification-based methods improve Gaussian coverage </w:t>
      </w:r>
      <w:r>
        <w:rPr>
          <w:rFonts w:ascii="Times New Roman" w:hAnsi="Times New Roman" w:eastAsia="Times New Roman"/>
          <w:sz w:val="20"/>
          <w:vertAlign w:val="superscript"/>
        </w:rPr>
        <w:t>[12,23]</w:t>
      </w:r>
      <w:r>
        <w:rPr>
          <w:rFonts w:ascii="Times New Roman" w:hAnsi="Times New Roman" w:eastAsia="Times New Roman"/>
          <w:sz w:val="20"/>
        </w:rPr>
        <w:t xml:space="preserve">, including progressive geometric propagation </w:t>
      </w:r>
      <w:r>
        <w:rPr>
          <w:rFonts w:ascii="Times New Roman" w:hAnsi="Times New Roman" w:eastAsia="Times New Roman"/>
          <w:sz w:val="20"/>
          <w:vertAlign w:val="superscript"/>
        </w:rPr>
        <w:t>[24]</w:t>
      </w:r>
      <w:r>
        <w:rPr>
          <w:rFonts w:ascii="Times New Roman" w:hAnsi="Times New Roman" w:eastAsia="Times New Roman"/>
          <w:sz w:val="20"/>
        </w:rPr>
        <w:t xml:space="preserve">, gradient-aware density control </w:t>
      </w:r>
      <w:r>
        <w:rPr>
          <w:rFonts w:ascii="Times New Roman" w:hAnsi="Times New Roman" w:eastAsia="Times New Roman"/>
          <w:sz w:val="20"/>
          <w:vertAlign w:val="superscript"/>
        </w:rPr>
        <w:t>[25]</w:t>
      </w:r>
      <w:r>
        <w:rPr>
          <w:rFonts w:ascii="Times New Roman" w:hAnsi="Times New Roman" w:eastAsia="Times New Roman"/>
          <w:sz w:val="20"/>
        </w:rPr>
        <w:t xml:space="preserve">, and epipolar depth priors </w:t>
      </w:r>
      <w:r>
        <w:rPr>
          <w:rFonts w:ascii="Times New Roman" w:hAnsi="Times New Roman" w:eastAsia="Times New Roman"/>
          <w:sz w:val="20"/>
          <w:vertAlign w:val="superscript"/>
        </w:rPr>
        <w:t>[26]</w:t>
      </w:r>
      <w:r>
        <w:rPr>
          <w:rFonts w:ascii="Times New Roman" w:hAnsi="Times New Roman" w:eastAsia="Times New Roman"/>
          <w:sz w:val="20"/>
        </w:rPr>
        <w:t xml:space="preserve">. Others explore alternating densification under sparse inputs </w:t>
      </w:r>
      <w:r>
        <w:rPr>
          <w:rFonts w:ascii="Times New Roman" w:hAnsi="Times New Roman" w:eastAsia="Times New Roman"/>
          <w:sz w:val="20"/>
          <w:vertAlign w:val="superscript"/>
        </w:rPr>
        <w:t>[27]</w:t>
      </w:r>
      <w:r>
        <w:rPr>
          <w:rFonts w:ascii="Times New Roman" w:hAnsi="Times New Roman" w:eastAsia="Times New Roman"/>
          <w:sz w:val="20"/>
        </w:rPr>
        <w:t xml:space="preserve">, score distillation </w:t>
      </w:r>
      <w:r>
        <w:rPr>
          <w:rFonts w:ascii="Times New Roman" w:hAnsi="Times New Roman" w:eastAsia="Times New Roman"/>
          <w:sz w:val="20"/>
          <w:vertAlign w:val="superscript"/>
        </w:rPr>
        <w:t>[28]</w:t>
      </w:r>
      <w:r>
        <w:rPr>
          <w:rFonts w:ascii="Times New Roman" w:hAnsi="Times New Roman" w:eastAsia="Times New Roman"/>
          <w:sz w:val="20"/>
        </w:rPr>
        <w:t xml:space="preserve">, co-regularization </w:t>
      </w:r>
      <w:r>
        <w:rPr>
          <w:rFonts w:ascii="Times New Roman" w:hAnsi="Times New Roman" w:eastAsia="Times New Roman"/>
          <w:sz w:val="20"/>
          <w:vertAlign w:val="superscript"/>
        </w:rPr>
        <w:t>[13]</w:t>
      </w:r>
      <w:r>
        <w:rPr>
          <w:rFonts w:ascii="Times New Roman" w:hAnsi="Times New Roman" w:eastAsia="Times New Roman"/>
          <w:sz w:val="20"/>
        </w:rPr>
        <w:t xml:space="preserve">, and Gaussian dropout </w:t>
      </w:r>
      <w:r>
        <w:rPr>
          <w:rFonts w:ascii="Times New Roman" w:hAnsi="Times New Roman" w:eastAsia="Times New Roman"/>
          <w:sz w:val="20"/>
          <w:vertAlign w:val="superscript"/>
        </w:rPr>
        <w:t>[9,29]</w:t>
      </w:r>
      <w:r>
        <w:rPr>
          <w:rFonts w:ascii="Times New Roman" w:hAnsi="Times New Roman" w:eastAsia="Times New Roman"/>
          <w:sz w:val="20"/>
        </w:rPr>
        <w:t xml:space="preserve">. Pose-free and feed-forward sparse Gaussian reconstruction has also been studied </w:t>
      </w:r>
      <w:r>
        <w:rPr>
          <w:rFonts w:ascii="Times New Roman" w:hAnsi="Times New Roman" w:eastAsia="Times New Roman"/>
          <w:sz w:val="20"/>
          <w:vertAlign w:val="superscript"/>
        </w:rPr>
        <w:t>[30,31,32,33]</w:t>
      </w:r>
      <w:r>
        <w:rPr>
          <w:rFonts w:ascii="Times New Roman" w:hAnsi="Times New Roman" w:eastAsia="Times New Roman"/>
          <w:sz w:val="20"/>
        </w:rPr>
        <w:t>.</w:t>
      </w:r>
    </w:p>
    <w:p w14:paraId="1414070E">
      <w:pPr>
        <w:pStyle w:val="4"/>
        <w:jc w:val="both"/>
      </w:pPr>
      <w:r>
        <w:rPr>
          <w:rFonts w:ascii="Times New Roman" w:hAnsi="Times New Roman" w:eastAsia="Times New Roman"/>
          <w:sz w:val="20"/>
        </w:rPr>
        <w:t xml:space="preserve">Classical multi-view stereo remains a strong geometric backbone </w:t>
      </w:r>
      <w:r>
        <w:rPr>
          <w:rFonts w:ascii="Times New Roman" w:hAnsi="Times New Roman" w:eastAsia="Times New Roman"/>
          <w:sz w:val="20"/>
          <w:vertAlign w:val="superscript"/>
        </w:rPr>
        <w:t>[34]</w:t>
      </w:r>
      <w:r>
        <w:rPr>
          <w:rFonts w:ascii="Times New Roman" w:hAnsi="Times New Roman" w:eastAsia="Times New Roman"/>
          <w:sz w:val="20"/>
        </w:rPr>
        <w:t xml:space="preserve">. Monocular depth estimators provide useful cues for underconstrained views </w:t>
      </w:r>
      <w:r>
        <w:rPr>
          <w:rFonts w:ascii="Times New Roman" w:hAnsi="Times New Roman" w:eastAsia="Times New Roman"/>
          <w:sz w:val="20"/>
          <w:vertAlign w:val="superscript"/>
        </w:rPr>
        <w:t>[35]</w:t>
      </w:r>
      <w:r>
        <w:rPr>
          <w:rFonts w:ascii="Times New Roman" w:hAnsi="Times New Roman" w:eastAsia="Times New Roman"/>
          <w:sz w:val="20"/>
        </w:rPr>
        <w:t xml:space="preserve">, and recent monocular geometry models further recover metric structure from a single image </w:t>
      </w:r>
      <w:r>
        <w:rPr>
          <w:rFonts w:ascii="Times New Roman" w:hAnsi="Times New Roman" w:eastAsia="Times New Roman"/>
          <w:sz w:val="20"/>
          <w:vertAlign w:val="superscript"/>
        </w:rPr>
        <w:t>[36]</w:t>
      </w:r>
      <w:r>
        <w:rPr>
          <w:rFonts w:ascii="Times New Roman" w:hAnsi="Times New Roman" w:eastAsia="Times New Roman"/>
          <w:sz w:val="20"/>
        </w:rPr>
        <w:t xml:space="preserve">. SynGS instead adapts a VGGT-based multi-view depth prior </w:t>
      </w:r>
      <w:r>
        <w:rPr>
          <w:rFonts w:ascii="Times New Roman" w:hAnsi="Times New Roman" w:eastAsia="Times New Roman"/>
          <w:sz w:val="20"/>
          <w:vertAlign w:val="superscript"/>
        </w:rPr>
        <w:t>[37]</w:t>
      </w:r>
      <w:r>
        <w:rPr>
          <w:rFonts w:ascii="Times New Roman" w:hAnsi="Times New Roman" w:eastAsia="Times New Roman"/>
          <w:sz w:val="20"/>
        </w:rPr>
        <w:t xml:space="preserve"> together with explicit visual-hull initialization and dynamic visibility regularization for more stable sparse-view 3DGS reconstruction.</w:t>
      </w:r>
    </w:p>
    <w:bookmarkEnd w:id="0"/>
    <w:p w14:paraId="1F553559">
      <w:pPr>
        <w:pStyle w:val="2"/>
      </w:pPr>
      <w:bookmarkStart w:id="1" w:name="_method"/>
      <w:r>
        <w:rPr>
          <w:rFonts w:ascii="Times New Roman" w:hAnsi="Times New Roman" w:eastAsia="Times New Roman"/>
          <w:b/>
          <w:sz w:val="22"/>
        </w:rPr>
        <w:t>METHOD</w:t>
      </w:r>
    </w:p>
    <w:p w14:paraId="391F5F3F">
      <w:pPr>
        <w:pStyle w:val="3"/>
        <w:numPr>
          <w:ilvl w:val="1"/>
          <w:numId w:val="1"/>
        </w:numPr>
      </w:pPr>
      <w:bookmarkStart w:id="2" w:name="_c9c4aed55d8fffb9d98412859f7f6d1af8cfd6d"/>
      <w:r>
        <w:rPr>
          <w:rFonts w:ascii="Times New Roman" w:hAnsi="Times New Roman" w:eastAsia="Times New Roman"/>
          <w:b/>
          <w:sz w:val="20"/>
        </w:rPr>
        <w:t>Overall Framework</w:t>
      </w:r>
    </w:p>
    <w:p w14:paraId="1B56D39B">
      <w:pPr>
        <w:pStyle w:val="4"/>
        <w:jc w:val="both"/>
      </w:pPr>
      <w:r>
        <w:rPr>
          <w:rFonts w:ascii="Times New Roman" w:hAnsi="Times New Roman" w:eastAsia="Times New Roman"/>
          <w:sz w:val="20"/>
        </w:rPr>
        <w:t xml:space="preserve">We propose SynGS, a sparse-view 3D Gaussian Splatting </w:t>
      </w:r>
      <w:r>
        <w:rPr>
          <w:rFonts w:ascii="Times New Roman" w:hAnsi="Times New Roman" w:eastAsia="Times New Roman"/>
          <w:sz w:val="20"/>
          <w:vertAlign w:val="superscript"/>
        </w:rPr>
        <w:t>[3]</w:t>
      </w:r>
      <w:r>
        <w:rPr>
          <w:rFonts w:ascii="Times New Roman" w:hAnsi="Times New Roman" w:eastAsia="Times New Roman"/>
          <w:sz w:val="20"/>
        </w:rPr>
        <w:t xml:space="preserve"> 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 </w:t>
      </w:r>
      <w:r>
        <w:rPr>
          <w:rFonts w:ascii="Times New Roman" w:hAnsi="Times New Roman" w:eastAsia="Times New Roman"/>
          <w:sz w:val="20"/>
          <w:vertAlign w:val="superscript"/>
        </w:rPr>
        <w:t>[4,38]</w:t>
      </w:r>
      <w:r>
        <w:rPr>
          <w:rFonts w:ascii="Times New Roman" w:hAnsi="Times New Roman" w:eastAsia="Times New Roman"/>
          <w:sz w:val="20"/>
        </w:rPr>
        <w:t>, SynGS focuses on silhouette-based initialization and depth-guided densification under sparse posed inputs.</w:t>
      </w:r>
    </w:p>
    <w:p w14:paraId="2E222EE1">
      <w:pPr>
        <w:pStyle w:val="4"/>
        <w:jc w:val="both"/>
      </w:pPr>
      <w:r>
        <w:rPr>
          <w:rFonts w:ascii="Times New Roman" w:hAnsi="Times New Roman" w:eastAsia="Times New Roman"/>
          <w:sz w:val="20"/>
        </w:rPr>
        <w:t xml:space="preserve">First, </w:t>
      </w:r>
      <w:r>
        <w:rPr>
          <w:rFonts w:ascii="Times New Roman" w:hAnsi="Times New Roman" w:eastAsia="Times New Roman"/>
          <w:b/>
          <w:bCs/>
          <w:sz w:val="20"/>
        </w:rPr>
        <w:t>Visual Hull Initialization</w:t>
      </w:r>
      <w:r>
        <w:rPr>
          <w:rFonts w:ascii="Times New Roman" w:hAnsi="Times New Roman" w:eastAsia="Times New Roman"/>
          <w:sz w:val="20"/>
        </w:rPr>
        <w:t xml:space="preserve"> constructs a coarse geometric prior from multi-view silhouettes and generates an initial point cloud. Then, </w:t>
      </w:r>
      <w:r>
        <w:rPr>
          <w:rFonts w:ascii="Times New Roman" w:hAnsi="Times New Roman" w:eastAsia="Times New Roman"/>
          <w:b/>
          <w:bCs/>
          <w:sz w:val="20"/>
        </w:rPr>
        <w:t>VGGT-Guided Densification</w:t>
      </w:r>
      <w:r>
        <w:rPr>
          <w:rFonts w:ascii="Times New Roman" w:hAnsi="Times New Roman" w:eastAsia="Times New Roman"/>
          <w:sz w:val="20"/>
        </w:rPr>
        <w:t xml:space="preserve"> exploits cross-view depth priors to supplement missing geometry and produce a depth-enhanced point cloud for Gaussian initialization. Finally, </w:t>
      </w:r>
      <w:r>
        <w:rPr>
          <w:rFonts w:ascii="Times New Roman" w:hAnsi="Times New Roman" w:eastAsia="Times New Roman"/>
          <w:b/>
          <w:bCs/>
          <w:sz w:val="20"/>
        </w:rPr>
        <w:t>Dynamic Visibility Regularization (DVR)</w:t>
      </w:r>
      <w:r>
        <w:rPr>
          <w:rFonts w:ascii="Times New Roman" w:hAnsi="Times New Roman" w:eastAsia="Times New Roman"/>
          <w:sz w:val="20"/>
        </w:rPr>
        <w:t xml:space="preserve"> is applied during 3DGS optimization to rebalance supervision under sparse visibility and reduce overfitting. The complete process proceeds from the Visual Hull point cloud, through depth densification and Gaussian initialization, to DVR-regularized optimization.</w:t>
      </w:r>
    </w:p>
    <w:p w14:paraId="45258B26">
      <w:pPr>
        <w:pStyle w:val="4"/>
        <w:jc w:val="center"/>
      </w:pPr>
      <w:r>
        <w:rPr>
          <w:rFonts w:ascii="Times New Roman" w:hAnsi="Times New Roman" w:eastAsia="Times New Roman"/>
          <w:sz w:val="20"/>
        </w:rPr>
        <w:drawing>
          <wp:inline distT="0" distB="0" distL="114300" distR="114300">
            <wp:extent cx="5939790" cy="3455035"/>
            <wp:effectExtent l="0" t="0" r="0" b="0"/>
            <wp:docPr id="35" name="Picture" descr="Figure 1. Overview of the SynGS pipeline. The third stage applies Dynamic Visibility Regularization (D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1. Overview of the SynGS pipeline. The third stage applies Dynamic Visibility Regularization (DVR)."/>
                    <pic:cNvPicPr>
                      <a:picLocks noChangeAspect="1" noChangeArrowheads="1"/>
                    </pic:cNvPicPr>
                  </pic:nvPicPr>
                  <pic:blipFill>
                    <a:blip r:embed="rId6"/>
                    <a:stretch>
                      <a:fillRect/>
                    </a:stretch>
                  </pic:blipFill>
                  <pic:spPr>
                    <a:xfrm>
                      <a:off x="0" y="0"/>
                      <a:ext cx="5940000" cy="3455076"/>
                    </a:xfrm>
                    <a:prstGeom prst="rect">
                      <a:avLst/>
                    </a:prstGeom>
                    <a:noFill/>
                    <a:ln w="9525">
                      <a:noFill/>
                    </a:ln>
                  </pic:spPr>
                </pic:pic>
              </a:graphicData>
            </a:graphic>
          </wp:inline>
        </w:drawing>
      </w:r>
    </w:p>
    <w:p w14:paraId="7777E468">
      <w:pPr>
        <w:pStyle w:val="37"/>
        <w:jc w:val="both"/>
      </w:pPr>
      <w:r>
        <w:rPr>
          <w:rFonts w:ascii="Times New Roman" w:hAnsi="Times New Roman" w:eastAsia="Times New Roman"/>
          <w:sz w:val="18"/>
        </w:rPr>
        <w:t>Figure 1. Overview of the SynGS pipeline. The third stage applies Dynamic Visibility Regularization (DVR).</w:t>
      </w:r>
    </w:p>
    <w:bookmarkEnd w:id="2"/>
    <w:p w14:paraId="75ECBC8B">
      <w:pPr>
        <w:pStyle w:val="3"/>
        <w:numPr>
          <w:ilvl w:val="1"/>
          <w:numId w:val="1"/>
        </w:numPr>
      </w:pPr>
      <w:bookmarkStart w:id="3" w:name="_daea87cd2d6f503dc19a78ce6b15a87a34daa80"/>
      <w:r>
        <w:rPr>
          <w:rFonts w:ascii="Times New Roman" w:hAnsi="Times New Roman" w:eastAsia="Times New Roman"/>
          <w:b/>
          <w:sz w:val="20"/>
        </w:rPr>
        <w:t>Visual Hull Initialization</w:t>
      </w:r>
    </w:p>
    <w:p w14:paraId="51CF1E73">
      <w:pPr>
        <w:pStyle w:val="4"/>
        <w:jc w:val="both"/>
      </w:pPr>
      <w:r>
        <w:rPr>
          <w:rFonts w:ascii="Times New Roman" w:hAnsi="Times New Roman" w:eastAsia="Times New Roman"/>
          <w:sz w:val="20"/>
        </w:rPr>
        <w:t xml:space="preserve">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 </w:t>
      </w:r>
      <w:r>
        <w:rPr>
          <w:rFonts w:ascii="Times New Roman" w:hAnsi="Times New Roman" w:eastAsia="Times New Roman"/>
          <w:sz w:val="20"/>
          <w:vertAlign w:val="superscript"/>
        </w:rPr>
        <w:t>[39]</w:t>
      </w:r>
      <w:r>
        <w:rPr>
          <w:rFonts w:ascii="Times New Roman" w:hAnsi="Times New Roman" w:eastAsia="Times New Roman"/>
          <w:sz w:val="20"/>
        </w:rPr>
        <w:t>.</w:t>
      </w:r>
    </w:p>
    <w:p w14:paraId="2E052030">
      <w:pPr>
        <w:pStyle w:val="4"/>
        <w:jc w:val="both"/>
      </w:pPr>
      <w:r>
        <w:rPr>
          <w:rFonts w:ascii="Times New Roman" w:hAnsi="Times New Roman" w:eastAsia="Times New Roman"/>
          <w:sz w:val="20"/>
        </w:rPr>
        <w:t>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
    <w:p w14:paraId="186F83F3">
      <w:pPr>
        <w:pStyle w:val="3"/>
        <w:numPr>
          <w:ilvl w:val="1"/>
          <w:numId w:val="1"/>
        </w:numPr>
      </w:pPr>
      <w:bookmarkStart w:id="4" w:name="_7750413c572b4ab541937d5392d89abad4a410e"/>
      <w:r>
        <w:rPr>
          <w:rFonts w:ascii="Times New Roman" w:hAnsi="Times New Roman" w:eastAsia="Times New Roman"/>
          <w:b/>
          <w:sz w:val="20"/>
        </w:rPr>
        <w:t>VGGT-Guided Densification</w:t>
      </w:r>
    </w:p>
    <w:p w14:paraId="6A3E2788">
      <w:pPr>
        <w:pStyle w:val="4"/>
        <w:jc w:val="both"/>
      </w:pPr>
      <w:r>
        <w:rPr>
          <w:rFonts w:ascii="Times New Roman" w:hAnsi="Times New Roman" w:eastAsia="Times New Roman"/>
          <w:sz w:val="20"/>
        </w:rPr>
        <w:t xml:space="preserve">Silhouettes alone miss concave regions and fine structures. We densify the Visual Hull point cloud with </w:t>
      </w:r>
      <w:r>
        <w:rPr>
          <w:rFonts w:ascii="Times New Roman" w:hAnsi="Times New Roman" w:eastAsia="Times New Roman"/>
          <w:b/>
          <w:bCs/>
          <w:sz w:val="20"/>
        </w:rPr>
        <w:t>VGGT-Depth</w:t>
      </w:r>
      <w:r>
        <w:rPr>
          <w:rFonts w:ascii="Times New Roman" w:hAnsi="Times New Roman" w:eastAsia="Times New Roman"/>
          <w:sz w:val="20"/>
        </w:rPr>
        <w:t xml:space="preserve">: from a pre-trained VGGT backbone </w:t>
      </w:r>
      <w:r>
        <w:rPr>
          <w:rFonts w:ascii="Times New Roman" w:hAnsi="Times New Roman" w:eastAsia="Times New Roman"/>
          <w:sz w:val="20"/>
          <w:vertAlign w:val="superscript"/>
        </w:rPr>
        <w:t>[37]</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 </w:t>
      </w:r>
      <w:r>
        <w:rPr>
          <w:rFonts w:ascii="Times New Roman" w:hAnsi="Times New Roman" w:eastAsia="Times New Roman"/>
          <w:sz w:val="20"/>
          <w:vertAlign w:val="superscript"/>
        </w:rPr>
        <w:t>[35]</w:t>
      </w:r>
      <w:r>
        <w:rPr>
          <w:rFonts w:ascii="Times New Roman" w:hAnsi="Times New Roman" w:eastAsia="Times New Roman"/>
          <w:sz w:val="20"/>
        </w:rPr>
        <w:t>, the adaptation branch is conditioned on multi-view tokens (Figure 2).</w:t>
      </w:r>
    </w:p>
    <w:p w14:paraId="7614E2D9">
      <w:pPr>
        <w:pStyle w:val="4"/>
        <w:jc w:val="center"/>
      </w:pPr>
      <w:r>
        <w:rPr>
          <w:rFonts w:ascii="Times New Roman" w:hAnsi="Times New Roman" w:eastAsia="Times New Roman"/>
          <w:sz w:val="20"/>
        </w:rPr>
        <w:drawing>
          <wp:inline distT="0" distB="0" distL="114300" distR="114300">
            <wp:extent cx="5939790" cy="3503295"/>
            <wp:effectExtent l="0" t="0" r="0" b="0"/>
            <wp:docPr id="40" name="Picture" descr="Figure 2. VGGT-Depth prior used for depth-guided point cloud den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2. VGGT-Depth prior used for depth-guided point cloud densification."/>
                    <pic:cNvPicPr>
                      <a:picLocks noChangeAspect="1" noChangeArrowheads="1"/>
                    </pic:cNvPicPr>
                  </pic:nvPicPr>
                  <pic:blipFill>
                    <a:blip r:embed="rId7"/>
                    <a:stretch>
                      <a:fillRect/>
                    </a:stretch>
                  </pic:blipFill>
                  <pic:spPr>
                    <a:xfrm>
                      <a:off x="0" y="0"/>
                      <a:ext cx="5940000" cy="3503846"/>
                    </a:xfrm>
                    <a:prstGeom prst="rect">
                      <a:avLst/>
                    </a:prstGeom>
                    <a:noFill/>
                    <a:ln w="9525">
                      <a:noFill/>
                    </a:ln>
                  </pic:spPr>
                </pic:pic>
              </a:graphicData>
            </a:graphic>
          </wp:inline>
        </w:drawing>
      </w:r>
    </w:p>
    <w:p w14:paraId="2FD5F184">
      <w:pPr>
        <w:pStyle w:val="37"/>
        <w:jc w:val="both"/>
      </w:pPr>
      <w:r>
        <w:rPr>
          <w:rFonts w:ascii="Times New Roman" w:hAnsi="Times New Roman" w:eastAsia="Times New Roman"/>
          <w:sz w:val="18"/>
        </w:rPr>
        <w:t>Figure 2. VGGT-Depth prior used for depth-guided point cloud densification.</w:t>
      </w:r>
    </w:p>
    <w:p w14:paraId="6F6B2FB4">
      <w:pPr>
        <w:pStyle w:val="4"/>
        <w:jc w:val="both"/>
      </w:pPr>
      <w:r>
        <w:rPr>
          <w:rFonts w:ascii="Times New Roman" w:hAnsi="Times New Roman" w:eastAsia="Times New Roman"/>
          <w:sz w:val="20"/>
        </w:rPr>
        <w:t xml:space="preserve">We use the Visual Hull AABB diagonal </w:t>
      </w:r>
      <m:oMath>
        <m:r>
          <m:rPr/>
          <m:t>L</m:t>
        </m:r>
      </m:oMath>
      <w:r>
        <w:rPr>
          <w:rFonts w:ascii="Times New Roman" w:hAnsi="Times New Roman" w:eastAsia="Times New Roman"/>
          <w:sz w:val="20"/>
        </w:rPr>
        <w:t xml:space="preserve"> as the scene-scale reference. For each view, masked depth MAE against dataset ground-truth depth is used only to filter views and rays during densification (not at inference or when computing metrics); it is normalized by the 95th percentile over validation views to obtain </w:t>
      </w:r>
      <m:oMath>
        <m:sSub>
          <m:sSubPr/>
          <m:e>
            <m:r>
              <m:rPr/>
              <m:t>q</m:t>
            </m:r>
          </m:e>
          <m:sub>
            <m:r>
              <m:rPr/>
              <m:t>v</m:t>
            </m:r>
          </m:sub>
        </m:sSub>
      </m:oMath>
      <w:r>
        <w:rPr>
          <w:rFonts w:ascii="Times New Roman" w:hAnsi="Times New Roman" w:eastAsia="Times New Roman"/>
          <w:sz w:val="20"/>
        </w:rPr>
        <w:t xml:space="preserve">. Views with </w:t>
      </w:r>
      <m:oMath>
        <m:sSub>
          <m:sSubPr/>
          <m:e>
            <m:r>
              <m:rPr/>
              <m:t>q</m:t>
            </m:r>
          </m:e>
          <m:sub>
            <m:r>
              <m:rPr/>
              <m:t>v</m:t>
            </m:r>
          </m:sub>
        </m:sSub>
        <m:r>
          <m:rPr>
            <m:sty m:val="p"/>
          </m:rPr>
          <m:t>&lt;</m:t>
        </m:r>
        <m:r>
          <m:rPr/>
          <m:t>0.4</m:t>
        </m:r>
      </m:oMath>
      <w:r>
        <w:rPr>
          <w:rFonts w:ascii="Times New Roman" w:hAnsi="Times New Roman" w:eastAsia="Times New Roman"/>
          <w:sz w:val="20"/>
        </w:rPr>
        <w:t xml:space="preserve"> are discarded. If fewer than </w:t>
      </w:r>
      <m:oMath>
        <m:r>
          <m:rPr/>
          <m:t>0.8N</m:t>
        </m:r>
      </m:oMath>
      <w:r>
        <w:rPr>
          <w:rFonts w:ascii="Times New Roman" w:hAnsi="Times New Roman" w:eastAsia="Times New Roman"/>
          <w:sz w:val="20"/>
        </w:rPr>
        <w:t xml:space="preserve"> views remain, densification is skipped and the Visual Hull point cloud is retained. Remaining views keep regions that pass VGGT-Depth confidence and depth consistency. With tolerance</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07820989">
        <w:trPr>
          <w:jc w:val="center"/>
        </w:trPr>
        <w:tc>
          <w:tcPr>
            <w:tcW w:w="8868" w:type="dxa"/>
          </w:tcPr>
          <w:p w14:paraId="73C0B6AA">
            <w:pPr>
              <w:pStyle w:val="4"/>
              <w:jc w:val="center"/>
            </w:pPr>
            <m:oMathPara>
              <m:oMath>
                <m:r>
                  <m:rPr>
                    <m:sty m:val="p"/>
                  </m:rPr>
                  <m:t>Δ(</m:t>
                </m:r>
                <m:r>
                  <m:rPr/>
                  <m:t>d</m:t>
                </m:r>
                <m:r>
                  <m:rPr>
                    <m:sty m:val="p"/>
                  </m:rPr>
                  <m:t>)=</m:t>
                </m:r>
                <m:r>
                  <m:rPr/>
                  <m:t>αd</m:t>
                </m:r>
                <m:r>
                  <m:rPr>
                    <m:sty m:val="p"/>
                  </m:rPr>
                  <m:t>+</m:t>
                </m:r>
                <m:r>
                  <m:rPr/>
                  <m:t>β</m:t>
                </m:r>
                <m:r>
                  <m:rPr>
                    <m:sty m:val="p"/>
                  </m:rPr>
                  <m:t>,</m:t>
                </m:r>
                <m:r>
                  <m:rPr/>
                  <m:t>  α</m:t>
                </m:r>
                <m:r>
                  <m:rPr>
                    <m:sty m:val="p"/>
                  </m:rPr>
                  <m:t>=</m:t>
                </m:r>
                <m:r>
                  <m:rPr/>
                  <m:t>0.01</m:t>
                </m:r>
                <m:r>
                  <m:rPr>
                    <m:sty m:val="p"/>
                  </m:rPr>
                  <m:t>,</m:t>
                </m:r>
                <m:r>
                  <m:rPr/>
                  <m:t> β</m:t>
                </m:r>
                <m:r>
                  <m:rPr>
                    <m:sty m:val="p"/>
                  </m:rPr>
                  <m:t>=</m:t>
                </m:r>
                <m:r>
                  <m:rPr/>
                  <m:t>0.002L</m:t>
                </m:r>
                <m:r>
                  <m:rPr>
                    <m:sty m:val="p"/>
                  </m:rPr>
                  <m:t>,</m:t>
                </m:r>
              </m:oMath>
            </m:oMathPara>
          </w:p>
        </w:tc>
        <w:tc>
          <w:tcPr>
            <w:tcW w:w="850" w:type="dxa"/>
            <w:vAlign w:val="center"/>
          </w:tcPr>
          <w:p w14:paraId="29118C38">
            <w:pPr>
              <w:pStyle w:val="4"/>
              <w:jc w:val="right"/>
            </w:pPr>
            <w:r>
              <w:rPr>
                <w:rFonts w:ascii="Times New Roman" w:hAnsi="Times New Roman" w:eastAsia="Times New Roman"/>
                <w:sz w:val="20"/>
              </w:rPr>
              <w:t>(1)</w:t>
            </w:r>
          </w:p>
        </w:tc>
      </w:tr>
    </w:tbl>
    <w:p w14:paraId="18824CF7">
      <w:pPr>
        <w:pStyle w:val="4"/>
        <w:jc w:val="both"/>
      </w:pPr>
      <w:r>
        <w:rPr>
          <w:rFonts w:ascii="Times New Roman" w:hAnsi="Times New Roman" w:eastAsia="Times New Roman"/>
          <w:sz w:val="20"/>
        </w:rPr>
        <w:t>we reject low-confidence or inconsistent observations before back-projection.</w:t>
      </w:r>
    </w:p>
    <w:p w14:paraId="7EEC1766">
      <w:pPr>
        <w:pStyle w:val="4"/>
        <w:jc w:val="both"/>
      </w:pPr>
      <w:r>
        <w:rPr>
          <w:rFonts w:ascii="Times New Roman" w:hAnsi="Times New Roman" w:eastAsia="Times New Roman"/>
          <w:sz w:val="20"/>
        </w:rPr>
        <w:t xml:space="preserve">Point supplementation runs only along reliable rays. For each point, the top </w:t>
      </w:r>
      <m:oMath>
        <m:r>
          <m:rPr/>
          <m:t>K</m:t>
        </m:r>
        <m:r>
          <m:rPr>
            <m:sty m:val="p"/>
          </m:rPr>
          <m:t>=</m:t>
        </m:r>
        <m:r>
          <m:rPr/>
          <m:t>3</m:t>
        </m:r>
      </m:oMath>
      <w:r>
        <w:rPr>
          <w:rFonts w:ascii="Times New Roman" w:hAnsi="Times New Roman" w:eastAsia="Times New Roman"/>
          <w:sz w:val="20"/>
        </w:rPr>
        <w:t xml:space="preserve"> reliable views are selected; candidates are sampled around the predicted depth and back-projected. Related densification strategies propagate geometric cues or control Gaussian density during optimization </w:t>
      </w:r>
      <w:r>
        <w:rPr>
          <w:rFonts w:ascii="Times New Roman" w:hAnsi="Times New Roman" w:eastAsia="Times New Roman"/>
          <w:sz w:val="20"/>
          <w:vertAlign w:val="superscript"/>
        </w:rPr>
        <w:t>[24,25]</w:t>
      </w:r>
      <w:r>
        <w:rPr>
          <w:rFonts w:ascii="Times New Roman" w:hAnsi="Times New Roman" w:eastAsia="Times New Roman"/>
          <w:sz w:val="20"/>
        </w:rPr>
        <w:t xml:space="preserve">; alternating densification schedules have also been studied for sparse inputs </w:t>
      </w:r>
      <w:r>
        <w:rPr>
          <w:rFonts w:ascii="Times New Roman" w:hAnsi="Times New Roman" w:eastAsia="Times New Roman"/>
          <w:sz w:val="20"/>
          <w:vertAlign w:val="superscript"/>
        </w:rPr>
        <w:t>[27]</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 </w:t>
      </w:r>
      <w:r>
        <w:rPr>
          <w:rFonts w:ascii="Times New Roman" w:hAnsi="Times New Roman" w:eastAsia="Times New Roman"/>
          <w:sz w:val="20"/>
          <w:vertAlign w:val="superscript"/>
        </w:rPr>
        <w:t>[26]</w:t>
      </w:r>
      <w:r>
        <w:rPr>
          <w:rFonts w:ascii="Times New Roman" w:hAnsi="Times New Roman" w:eastAsia="Times New Roman"/>
          <w:sz w:val="20"/>
        </w:rPr>
        <w:t xml:space="preserve">, or rasterizes depth from Gaussians for geometric supervision </w:t>
      </w:r>
      <w:r>
        <w:rPr>
          <w:rFonts w:ascii="Times New Roman" w:hAnsi="Times New Roman" w:eastAsia="Times New Roman"/>
          <w:sz w:val="20"/>
          <w:vertAlign w:val="superscript"/>
        </w:rPr>
        <w:t>[40]</w:t>
      </w:r>
      <w:r>
        <w:rPr>
          <w:rFonts w:ascii="Times New Roman" w:hAnsi="Times New Roman" w:eastAsia="Times New Roman"/>
          <w:sz w:val="20"/>
        </w:rPr>
        <w:t>; we instead use adapted VGGT-Depth predictions for back-projection. Supplementary points are merged via two-stage voxel fusion and deduplication (</w:t>
      </w:r>
      <m:oMath>
        <m:r>
          <m:rPr/>
          <m:t>0.01L</m:t>
        </m:r>
      </m:oMath>
      <w:r>
        <w:rPr>
          <w:rFonts w:ascii="Times New Roman" w:hAnsi="Times New Roman" w:eastAsia="Times New Roman"/>
          <w:sz w:val="20"/>
        </w:rPr>
        <w:t xml:space="preserve"> then </w:t>
      </w:r>
      <m:oMath>
        <m:r>
          <m:rPr/>
          <m:t>0.004L</m:t>
        </m:r>
      </m:oMath>
      <w:r>
        <w:rPr>
          <w:rFonts w:ascii="Times New Roman" w:hAnsi="Times New Roman" w:eastAsia="Times New Roman"/>
          <w:sz w:val="20"/>
        </w:rPr>
        <w:t>).</w:t>
      </w:r>
    </w:p>
    <w:p w14:paraId="3FE27416">
      <w:pPr>
        <w:pStyle w:val="4"/>
        <w:jc w:val="both"/>
      </w:pPr>
      <w:r>
        <w:rPr>
          <w:rFonts w:ascii="Times New Roman" w:hAnsi="Times New Roman" w:eastAsia="Times New Roman"/>
          <w:sz w:val="20"/>
        </w:rPr>
        <w:t xml:space="preserve">Each densified point initializes a Gaussian center; scale comes from the mean distance to its </w:t>
      </w:r>
      <m:oMath>
        <m:r>
          <m:rPr/>
          <m:t>k</m:t>
        </m:r>
        <m:r>
          <m:rPr>
            <m:sty m:val="p"/>
          </m:rPr>
          <m:t>=</m:t>
        </m:r>
        <m:r>
          <m:rPr/>
          <m:t>8</m:t>
        </m:r>
      </m:oMath>
      <w:r>
        <w:rPr>
          <w:rFonts w:ascii="Times New Roman" w:hAnsi="Times New Roman" w:eastAsia="Times New Roman"/>
          <w:sz w:val="20"/>
        </w:rPr>
        <w:t xml:space="preserve"> nearest neighbors. Multi-view colors are fused with depth-consistency and VGGT confidence weights. Opacity is set from cross-view consistency and clipped to </w:t>
      </w:r>
      <m:oMath>
        <m:r>
          <m:rPr>
            <m:sty m:val="p"/>
          </m:rPr>
          <m:t>[</m:t>
        </m:r>
        <m:r>
          <m:rPr/>
          <m:t>0.2</m:t>
        </m:r>
        <m:r>
          <m:rPr>
            <m:sty m:val="p"/>
          </m:rPr>
          <m:t>,</m:t>
        </m:r>
        <m:r>
          <m:rPr/>
          <m:t>0.8</m:t>
        </m:r>
        <m:r>
          <m:rPr>
            <m:sty m:val="p"/>
          </m:rPr>
          <m:t>]</m:t>
        </m:r>
      </m:oMath>
      <w:r>
        <w:rPr>
          <w:rFonts w:ascii="Times New Roman" w:hAnsi="Times New Roman" w:eastAsia="Times New Roman"/>
          <w:sz w:val="20"/>
        </w:rPr>
        <w:t>. Uneven supervision remains under sparse views; we address this with DVR (Sec. 3.4).</w:t>
      </w:r>
    </w:p>
    <w:bookmarkEnd w:id="4"/>
    <w:p w14:paraId="00569B15">
      <w:pPr>
        <w:pStyle w:val="3"/>
        <w:numPr>
          <w:ilvl w:val="1"/>
          <w:numId w:val="1"/>
        </w:numPr>
      </w:pPr>
      <w:bookmarkStart w:id="5" w:name="_de6782f8b3194658926827b1faaaf566c81efa4"/>
      <w:r>
        <w:rPr>
          <w:rFonts w:ascii="Times New Roman" w:hAnsi="Times New Roman" w:eastAsia="Times New Roman"/>
          <w:b/>
          <w:sz w:val="20"/>
        </w:rPr>
        <w:t>Dynamic Visibility Regularization</w:t>
      </w:r>
    </w:p>
    <w:p w14:paraId="7C7578F7">
      <w:pPr>
        <w:pStyle w:val="4"/>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 </w:t>
      </w:r>
      <w:r>
        <w:rPr>
          <w:rFonts w:ascii="Times New Roman" w:hAnsi="Times New Roman" w:eastAsia="Times New Roman"/>
          <w:sz w:val="20"/>
          <w:vertAlign w:val="superscript"/>
        </w:rPr>
        <w:t>[8,9]</w:t>
      </w:r>
      <w:r>
        <w:rPr>
          <w:rFonts w:ascii="Times New Roman" w:hAnsi="Times New Roman" w:eastAsia="Times New Roman"/>
          <w:sz w:val="20"/>
        </w:rPr>
        <w:t xml:space="preserve">. Visibility priors have also been explored to regularize sparse-input radiance fields </w:t>
      </w:r>
      <w:r>
        <w:rPr>
          <w:rFonts w:ascii="Times New Roman" w:hAnsi="Times New Roman" w:eastAsia="Times New Roman"/>
          <w:sz w:val="20"/>
          <w:vertAlign w:val="superscript"/>
        </w:rPr>
        <w:t>[10]</w:t>
      </w:r>
      <w:r>
        <w:rPr>
          <w:rFonts w:ascii="Times New Roman" w:hAnsi="Times New Roman" w:eastAsia="Times New Roman"/>
          <w:sz w:val="20"/>
        </w:rPr>
        <w:t xml:space="preserve">, and distractor-aware training further highlights sensitivity to unreliable observations </w:t>
      </w:r>
      <w:r>
        <w:rPr>
          <w:rFonts w:ascii="Times New Roman" w:hAnsi="Times New Roman" w:eastAsia="Times New Roman"/>
          <w:sz w:val="20"/>
          <w:vertAlign w:val="superscript"/>
        </w:rPr>
        <w:t>[41]</w:t>
      </w:r>
      <w:r>
        <w:rPr>
          <w:rFonts w:ascii="Times New Roman" w:hAnsi="Times New Roman" w:eastAsia="Times New Roman"/>
          <w:sz w:val="20"/>
        </w:rPr>
        <w:t xml:space="preserve">. Beyond fixed densification heuristics, densification can also be cast as stochastic sampling </w:t>
      </w:r>
      <w:r>
        <w:rPr>
          <w:rFonts w:ascii="Times New Roman" w:hAnsi="Times New Roman" w:eastAsia="Times New Roman"/>
          <w:sz w:val="20"/>
          <w:vertAlign w:val="superscript"/>
        </w:rPr>
        <w:t>[42]</w:t>
      </w:r>
      <w:r>
        <w:rPr>
          <w:rFonts w:ascii="Times New Roman" w:hAnsi="Times New Roman" w:eastAsia="Times New Roman"/>
          <w:sz w:val="20"/>
        </w:rPr>
        <w:t xml:space="preserve">, while constraining the Gaussian budget motivates careful control of which primitives participate in rendering </w:t>
      </w:r>
      <w:r>
        <w:rPr>
          <w:rFonts w:ascii="Times New Roman" w:hAnsi="Times New Roman" w:eastAsia="Times New Roman"/>
          <w:sz w:val="20"/>
          <w:vertAlign w:val="superscript"/>
        </w:rPr>
        <w:t>[43]</w:t>
      </w:r>
      <w:r>
        <w:rPr>
          <w:rFonts w:ascii="Times New Roman" w:hAnsi="Times New Roman" w:eastAsia="Times New Roman"/>
          <w:sz w:val="20"/>
        </w:rPr>
        <w:t>. We use DVR via progressive Gaussian dropout.</w:t>
      </w:r>
    </w:p>
    <w:p w14:paraId="6F840798">
      <w:pPr>
        <w:pStyle w:val="4"/>
        <w:jc w:val="both"/>
      </w:pPr>
      <w:r>
        <w:rPr>
          <w:rFonts w:ascii="Times New Roman" w:hAnsi="Times New Roman" w:eastAsia="Times New Roman"/>
          <w:sz w:val="20"/>
        </w:rPr>
        <w:t xml:space="preserve">At iteration </w:t>
      </w:r>
      <m:oMath>
        <m:r>
          <m:rPr/>
          <m:t>t</m:t>
        </m:r>
      </m:oMath>
      <w:r>
        <w:rPr>
          <w:rFonts w:ascii="Times New Roman" w:hAnsi="Times New Roman" w:eastAsia="Times New Roman"/>
          <w:sz w:val="20"/>
        </w:rPr>
        <w:t>, DVR randomly masks a subset of Gaussians for dropout rendering. The dropout ratio grows linearly:</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7E600732">
        <w:trPr>
          <w:jc w:val="center"/>
        </w:trPr>
        <w:tc>
          <w:tcPr>
            <w:tcW w:w="8868" w:type="dxa"/>
          </w:tcPr>
          <w:p w14:paraId="69DBB117">
            <w:pPr>
              <w:pStyle w:val="4"/>
              <w:jc w:val="center"/>
            </w:pPr>
            <m:oMathPara>
              <m:oMath>
                <m:sSub>
                  <m:sSubPr/>
                  <m:e>
                    <m:r>
                      <m:rPr/>
                      <m:t>r</m:t>
                    </m:r>
                  </m:e>
                  <m:sub>
                    <m:r>
                      <m:rPr/>
                      <m:t>t</m:t>
                    </m:r>
                  </m:sub>
                </m:sSub>
                <m:r>
                  <m:rPr>
                    <m:sty m:val="p"/>
                  </m:rPr>
                  <m:t>=min</m:t>
                </m:r>
                <m:d>
                  <m:dPr>
                    <m:sepChr m:val=""/>
                  </m:dPr>
                  <m:e>
                    <m:sSub>
                      <m:sSubPr/>
                      <m:e>
                        <m:r>
                          <m:rPr/>
                          <m:t>r</m:t>
                        </m:r>
                      </m:e>
                      <m:sub>
                        <m:r>
                          <m:rPr>
                            <m:sty m:val="p"/>
                          </m:rPr>
                          <m:t>max</m:t>
                        </m:r>
                      </m:sub>
                    </m:sSub>
                    <m:r>
                      <m:rPr>
                        <m:sty m:val="p"/>
                      </m:rPr>
                      <m:t>,</m:t>
                    </m:r>
                    <m:r>
                      <m:rPr/>
                      <m:t> γ</m:t>
                    </m:r>
                    <m:f>
                      <m:fPr/>
                      <m:num>
                        <m:r>
                          <m:rPr/>
                          <m:t>t</m:t>
                        </m:r>
                      </m:num>
                      <m:den>
                        <m:r>
                          <m:rPr/>
                          <m:t>T</m:t>
                        </m:r>
                      </m:den>
                    </m:f>
                  </m:e>
                </m:d>
                <m:r>
                  <m:rPr>
                    <m:sty m:val="p"/>
                  </m:rPr>
                  <m:t>,</m:t>
                </m:r>
              </m:oMath>
            </m:oMathPara>
          </w:p>
        </w:tc>
        <w:tc>
          <w:tcPr>
            <w:tcW w:w="850" w:type="dxa"/>
            <w:vAlign w:val="center"/>
          </w:tcPr>
          <w:p w14:paraId="49E6DBD7">
            <w:pPr>
              <w:pStyle w:val="4"/>
              <w:jc w:val="right"/>
            </w:pPr>
            <w:r>
              <w:rPr>
                <w:rFonts w:ascii="Times New Roman" w:hAnsi="Times New Roman" w:eastAsia="Times New Roman"/>
                <w:sz w:val="20"/>
              </w:rPr>
              <w:t>(2)</w:t>
            </w:r>
          </w:p>
        </w:tc>
      </w:tr>
    </w:tbl>
    <w:p w14:paraId="79565908">
      <w:pPr>
        <w:pStyle w:val="4"/>
        <w:jc w:val="both"/>
      </w:pPr>
      <w:r>
        <w:rPr>
          <w:rFonts w:ascii="Times New Roman" w:hAnsi="Times New Roman" w:eastAsia="Times New Roman"/>
          <w:sz w:val="20"/>
        </w:rPr>
        <w:t xml:space="preserve">where </w:t>
      </w:r>
      <m:oMath>
        <m:r>
          <m:rPr/>
          <m:t>t</m:t>
        </m:r>
      </m:oMath>
      <w:r>
        <w:rPr>
          <w:rFonts w:ascii="Times New Roman" w:hAnsi="Times New Roman" w:eastAsia="Times New Roman"/>
          <w:sz w:val="20"/>
        </w:rPr>
        <w:t xml:space="preserve"> and </w:t>
      </w:r>
      <m:oMath>
        <m:r>
          <m:rPr/>
          <m:t>T</m:t>
        </m:r>
      </m:oMath>
      <w:r>
        <w:rPr>
          <w:rFonts w:ascii="Times New Roman" w:hAnsi="Times New Roman" w:eastAsia="Times New Roman"/>
          <w:sz w:val="20"/>
        </w:rPr>
        <w:t xml:space="preserve"> are the current and total iterations, </w:t>
      </w:r>
      <m:oMath>
        <m:sSub>
          <m:sSubPr/>
          <m:e>
            <m:r>
              <m:rPr/>
              <m:t>r</m:t>
            </m:r>
          </m:e>
          <m:sub>
            <m:r>
              <m:rPr>
                <m:sty m:val="p"/>
              </m:rPr>
              <m:t>max</m:t>
            </m:r>
          </m:sub>
        </m:sSub>
      </m:oMath>
      <w:r>
        <w:rPr>
          <w:rFonts w:ascii="Times New Roman" w:hAnsi="Times New Roman" w:eastAsia="Times New Roman"/>
          <w:sz w:val="20"/>
        </w:rPr>
        <w:t xml:space="preserve"> is the maximum dropout ratio, and </w:t>
      </w:r>
      <m:oMath>
        <m:r>
          <m:rPr/>
          <m:t>γ</m:t>
        </m:r>
        <m:r>
          <m:rPr>
            <m:sty m:val="p"/>
          </m:rPr>
          <m:t>=</m:t>
        </m:r>
        <m:r>
          <m:rPr/>
          <m:t>0.1</m:t>
        </m:r>
      </m:oMath>
      <w:r>
        <w:rPr>
          <w:rFonts w:ascii="Times New Roman" w:hAnsi="Times New Roman" w:eastAsia="Times New Roman"/>
          <w:sz w:val="20"/>
        </w:rPr>
        <w:t>–</w:t>
      </w:r>
      <m:oMath>
        <m:r>
          <m:rPr/>
          <m:t>0.2</m:t>
        </m:r>
      </m:oMath>
      <w:r>
        <w:rPr>
          <w:rFonts w:ascii="Times New Roman" w:hAnsi="Times New Roman" w:eastAsia="Times New Roman"/>
          <w:sz w:val="20"/>
        </w:rPr>
        <w:t xml:space="preserve"> controls the growth rate. Early training keeps weak dropout for geometric convergence; later training increases it against sparse-view overfitting.</w:t>
      </w:r>
    </w:p>
    <w:p w14:paraId="6A2CF6E1">
      <w:pPr>
        <w:pStyle w:val="4"/>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 </w:t>
      </w:r>
      <w:r>
        <w:rPr>
          <w:rFonts w:ascii="Times New Roman" w:hAnsi="Times New Roman" w:eastAsia="Times New Roman"/>
          <w:sz w:val="20"/>
          <w:vertAlign w:val="superscript"/>
        </w:rPr>
        <w:t>[9]</w:t>
      </w:r>
      <w:r>
        <w:rPr>
          <w:rFonts w:ascii="Times New Roman" w:hAnsi="Times New Roman" w:eastAsia="Times New Roman"/>
          <w:sz w:val="20"/>
        </w:rPr>
        <w:t xml:space="preserve">, the dropout branch is left uncompensated, while the full set is rendered in parallel under the same target. Let </w:t>
      </w:r>
      <m:oMath>
        <m:sSub>
          <m:sSubPr/>
          <m:e>
            <m:r>
              <m:rPr/>
              <m:t>I</m:t>
            </m:r>
          </m:e>
          <m:sub>
            <m:r>
              <m:rPr>
                <m:sty m:val="p"/>
              </m:rPr>
              <m:t>full</m:t>
            </m:r>
          </m:sub>
        </m:sSub>
      </m:oMath>
      <w:r>
        <w:rPr>
          <w:rFonts w:ascii="Times New Roman" w:hAnsi="Times New Roman" w:eastAsia="Times New Roman"/>
          <w:sz w:val="20"/>
        </w:rPr>
        <w:t xml:space="preserve"> and </w:t>
      </w:r>
      <m:oMath>
        <m:sSub>
          <m:sSubPr/>
          <m:e>
            <m:r>
              <m:rPr/>
              <m:t>I</m:t>
            </m:r>
          </m:e>
          <m:sub>
            <m:r>
              <m:rPr>
                <m:sty m:val="p"/>
              </m:rPr>
              <m:t>drop</m:t>
            </m:r>
          </m:sub>
        </m:sSub>
      </m:oMath>
      <w:r>
        <w:rPr>
          <w:rFonts w:ascii="Times New Roman" w:hAnsi="Times New Roman" w:eastAsia="Times New Roman"/>
          <w:sz w:val="20"/>
        </w:rPr>
        <w:t xml:space="preserve"> denote the full and dropout renderings, and </w:t>
      </w:r>
      <m:oMath>
        <m:r>
          <m:rPr/>
          <m:t>I</m:t>
        </m:r>
      </m:oMath>
      <w:r>
        <w:rPr>
          <w:rFonts w:ascii="Times New Roman" w:hAnsi="Times New Roman" w:eastAsia="Times New Roman"/>
          <w:sz w:val="20"/>
        </w:rPr>
        <w:t xml:space="preserve"> the ground-truth image. We use the standard color loss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3814B5D3">
        <w:trPr>
          <w:jc w:val="center"/>
        </w:trPr>
        <w:tc>
          <w:tcPr>
            <w:tcW w:w="8868" w:type="dxa"/>
          </w:tcPr>
          <w:p w14:paraId="6931ABBB">
            <w:pPr>
              <w:pStyle w:val="4"/>
              <w:jc w:val="center"/>
            </w:pPr>
            <m:oMathPara>
              <m:oMath>
                <m:sSub>
                  <m:sSubPr/>
                  <m:e>
                    <m:r>
                      <m:rPr>
                        <m:sty m:val="p"/>
                        <m:scr m:val="script"/>
                      </m:rPr>
                      <m:t>ℒ</m:t>
                    </m:r>
                  </m:e>
                  <m:sub>
                    <m:r>
                      <m:rPr>
                        <m:sty m:val="p"/>
                      </m:rPr>
                      <m:t>color</m:t>
                    </m:r>
                  </m:sub>
                </m:sSub>
                <m:r>
                  <m:rPr>
                    <m:sty m:val="p"/>
                  </m:rPr>
                  <m:t>(</m:t>
                </m:r>
                <m:acc>
                  <m:accPr/>
                  <m:e>
                    <m:r>
                      <m:rPr/>
                      <m:t>I</m:t>
                    </m:r>
                  </m:e>
                </m:acc>
                <m:r>
                  <m:rPr>
                    <m:sty m:val="p"/>
                  </m:rPr>
                  <m:t>,</m:t>
                </m:r>
                <m:r>
                  <m:rPr/>
                  <m:t>I</m:t>
                </m:r>
                <m:r>
                  <m:rPr>
                    <m:sty m:val="p"/>
                  </m:rPr>
                  <m:t>)=(</m:t>
                </m:r>
                <m:r>
                  <m:rPr/>
                  <m:t>1</m:t>
                </m:r>
                <m:r>
                  <m:rPr>
                    <m:sty m:val="p"/>
                  </m:rPr>
                  <m:t>−</m:t>
                </m:r>
                <m:r>
                  <m:rPr/>
                  <m:t>λ</m:t>
                </m:r>
                <m:r>
                  <m:rPr>
                    <m:sty m:val="p"/>
                  </m:rPr>
                  <m:t>)</m:t>
                </m:r>
                <m:r>
                  <m:rPr/>
                  <m:t> </m:t>
                </m:r>
                <m:sSub>
                  <m:sSubPr/>
                  <m:e>
                    <m:r>
                      <m:rPr>
                        <m:sty m:val="p"/>
                        <m:scr m:val="script"/>
                      </m:rPr>
                      <m:t>ℒ</m:t>
                    </m:r>
                  </m:e>
                  <m:sub>
                    <m:r>
                      <m:rPr/>
                      <m:t>1</m:t>
                    </m:r>
                  </m:sub>
                </m:sSub>
                <m:r>
                  <m:rPr>
                    <m:sty m:val="p"/>
                  </m:rPr>
                  <m:t>(</m:t>
                </m:r>
                <m:acc>
                  <m:accPr/>
                  <m:e>
                    <m:r>
                      <m:rPr/>
                      <m:t>I</m:t>
                    </m:r>
                  </m:e>
                </m:acc>
                <m:r>
                  <m:rPr>
                    <m:sty m:val="p"/>
                  </m:rPr>
                  <m:t>,</m:t>
                </m:r>
                <m:r>
                  <m:rPr/>
                  <m:t>I</m:t>
                </m:r>
                <m:r>
                  <m:rPr>
                    <m:sty m:val="p"/>
                  </m:rPr>
                  <m:t>)+</m:t>
                </m:r>
                <m:r>
                  <m:rPr/>
                  <m:t>λ </m:t>
                </m:r>
                <m:sSub>
                  <m:sSubPr/>
                  <m:e>
                    <m:r>
                      <m:rPr>
                        <m:sty m:val="p"/>
                        <m:scr m:val="script"/>
                      </m:rPr>
                      <m:t>ℒ</m:t>
                    </m:r>
                  </m:e>
                  <m:sub>
                    <m:r>
                      <m:rPr>
                        <m:sty m:val="p"/>
                      </m:rPr>
                      <m:t>D</m:t>
                    </m:r>
                    <m:r>
                      <m:rPr>
                        <m:nor/>
                        <m:sty m:val="p"/>
                      </m:rPr>
                      <m:t>-</m:t>
                    </m:r>
                    <m:r>
                      <m:rPr>
                        <m:sty m:val="p"/>
                      </m:rPr>
                      <m:t>SSIM</m:t>
                    </m:r>
                  </m:sub>
                </m:sSub>
                <m:r>
                  <m:rPr>
                    <m:sty m:val="p"/>
                  </m:rPr>
                  <m:t>(</m:t>
                </m:r>
                <m:acc>
                  <m:accPr/>
                  <m:e>
                    <m:r>
                      <m:rPr/>
                      <m:t>I</m:t>
                    </m:r>
                  </m:e>
                </m:acc>
                <m:r>
                  <m:rPr>
                    <m:sty m:val="p"/>
                  </m:rPr>
                  <m:t>,</m:t>
                </m:r>
                <m:r>
                  <m:rPr/>
                  <m:t>I</m:t>
                </m:r>
                <m:r>
                  <m:rPr>
                    <m:sty m:val="p"/>
                  </m:rPr>
                  <m:t>),</m:t>
                </m:r>
              </m:oMath>
            </m:oMathPara>
          </w:p>
        </w:tc>
        <w:tc>
          <w:tcPr>
            <w:tcW w:w="850" w:type="dxa"/>
            <w:vAlign w:val="center"/>
          </w:tcPr>
          <w:p w14:paraId="5CBC525D">
            <w:pPr>
              <w:pStyle w:val="4"/>
              <w:jc w:val="right"/>
            </w:pPr>
            <w:r>
              <w:rPr>
                <w:rFonts w:ascii="Times New Roman" w:hAnsi="Times New Roman" w:eastAsia="Times New Roman"/>
                <w:sz w:val="20"/>
              </w:rPr>
              <w:t>(3)</w:t>
            </w:r>
          </w:p>
        </w:tc>
      </w:tr>
    </w:tbl>
    <w:p w14:paraId="50EAB900">
      <w:pPr>
        <w:pStyle w:val="4"/>
        <w:jc w:val="both"/>
      </w:pPr>
      <w:r>
        <w:rPr>
          <w:rFonts w:ascii="Times New Roman" w:hAnsi="Times New Roman" w:eastAsia="Times New Roman"/>
          <w:sz w:val="20"/>
        </w:rPr>
        <w:t xml:space="preserve">with </w:t>
      </w:r>
      <m:oMath>
        <m:r>
          <m:rPr/>
          <m:t>λ</m:t>
        </m:r>
        <m:r>
          <m:rPr>
            <m:sty m:val="p"/>
          </m:rPr>
          <m:t>=</m:t>
        </m:r>
        <m:r>
          <m:rPr/>
          <m:t>0.2</m:t>
        </m:r>
      </m:oMath>
      <w:r>
        <w:rPr>
          <w:rFonts w:ascii="Times New Roman" w:hAnsi="Times New Roman" w:eastAsia="Times New Roman"/>
          <w:sz w:val="20"/>
        </w:rPr>
        <w:t xml:space="preserve"> </w:t>
      </w:r>
      <w:r>
        <w:rPr>
          <w:rFonts w:ascii="Times New Roman" w:hAnsi="Times New Roman" w:eastAsia="Times New Roman"/>
          <w:sz w:val="20"/>
          <w:vertAlign w:val="superscript"/>
        </w:rPr>
        <w:t>[3]</w:t>
      </w:r>
      <w:r>
        <w:rPr>
          <w:rFonts w:ascii="Times New Roman" w:hAnsi="Times New Roman" w:eastAsia="Times New Roman"/>
          <w:sz w:val="20"/>
        </w:rPr>
        <w:t>. The final objective is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1FE1B6A7">
        <w:trPr>
          <w:jc w:val="center"/>
        </w:trPr>
        <w:tc>
          <w:tcPr>
            <w:tcW w:w="8868" w:type="dxa"/>
          </w:tcPr>
          <w:p w14:paraId="662ACCA2">
            <w:pPr>
              <w:pStyle w:val="4"/>
              <w:jc w:val="center"/>
            </w:pPr>
            <m:oMathPara>
              <m:oMath>
                <m:r>
                  <m:rPr>
                    <m:sty m:val="p"/>
                    <m:scr m:val="script"/>
                  </m:rPr>
                  <m:t>ℒ</m:t>
                </m:r>
                <m:r>
                  <m:rPr>
                    <m:sty m:val="p"/>
                  </m:rPr>
                  <m:t>=</m:t>
                </m:r>
                <m:sSub>
                  <m:sSubPr/>
                  <m:e>
                    <m:r>
                      <m:rPr>
                        <m:sty m:val="p"/>
                        <m:scr m:val="script"/>
                      </m:rPr>
                      <m:t>ℒ</m:t>
                    </m:r>
                  </m:e>
                  <m:sub>
                    <m:r>
                      <m:rPr>
                        <m:sty m:val="p"/>
                      </m:rPr>
                      <m:t>color</m:t>
                    </m:r>
                  </m:sub>
                </m:sSub>
                <m:r>
                  <m:rPr>
                    <m:sty m:val="p"/>
                  </m:rPr>
                  <m:t>(</m:t>
                </m:r>
                <m:sSub>
                  <m:sSubPr/>
                  <m:e>
                    <m:r>
                      <m:rPr/>
                      <m:t>I</m:t>
                    </m:r>
                  </m:e>
                  <m:sub>
                    <m:r>
                      <m:rPr>
                        <m:sty m:val="p"/>
                      </m:rPr>
                      <m:t>full</m:t>
                    </m:r>
                  </m:sub>
                </m:sSub>
                <m:r>
                  <m:rPr>
                    <m:sty m:val="p"/>
                  </m:rPr>
                  <m:t>,</m:t>
                </m:r>
                <m:r>
                  <m:rPr/>
                  <m:t>I</m:t>
                </m:r>
                <m:r>
                  <m:rPr>
                    <m:sty m:val="p"/>
                  </m:rPr>
                  <m:t>)+</m:t>
                </m:r>
                <m:r>
                  <m:rPr/>
                  <m:t>β </m:t>
                </m:r>
                <m:sSub>
                  <m:sSubPr/>
                  <m:e>
                    <m:r>
                      <m:rPr>
                        <m:sty m:val="p"/>
                        <m:scr m:val="script"/>
                      </m:rPr>
                      <m:t>ℒ</m:t>
                    </m:r>
                  </m:e>
                  <m:sub>
                    <m:r>
                      <m:rPr>
                        <m:sty m:val="p"/>
                      </m:rPr>
                      <m:t>color</m:t>
                    </m:r>
                  </m:sub>
                </m:sSub>
                <m:r>
                  <m:rPr>
                    <m:sty m:val="p"/>
                  </m:rPr>
                  <m:t>(</m:t>
                </m:r>
                <m:sSub>
                  <m:sSubPr/>
                  <m:e>
                    <m:r>
                      <m:rPr/>
                      <m:t>I</m:t>
                    </m:r>
                  </m:e>
                  <m:sub>
                    <m:r>
                      <m:rPr>
                        <m:sty m:val="p"/>
                      </m:rPr>
                      <m:t>drop</m:t>
                    </m:r>
                  </m:sub>
                </m:sSub>
                <m:r>
                  <m:rPr>
                    <m:sty m:val="p"/>
                  </m:rPr>
                  <m:t>,</m:t>
                </m:r>
                <m:r>
                  <m:rPr/>
                  <m:t>I</m:t>
                </m:r>
                <m:r>
                  <m:rPr>
                    <m:sty m:val="p"/>
                  </m:rPr>
                  <m:t>),</m:t>
                </m:r>
              </m:oMath>
            </m:oMathPara>
          </w:p>
        </w:tc>
        <w:tc>
          <w:tcPr>
            <w:tcW w:w="850" w:type="dxa"/>
            <w:vAlign w:val="center"/>
          </w:tcPr>
          <w:p w14:paraId="01B865C2">
            <w:pPr>
              <w:pStyle w:val="4"/>
              <w:jc w:val="right"/>
            </w:pPr>
            <w:r>
              <w:rPr>
                <w:rFonts w:ascii="Times New Roman" w:hAnsi="Times New Roman" w:eastAsia="Times New Roman"/>
                <w:sz w:val="20"/>
              </w:rPr>
              <w:t>(4)</w:t>
            </w:r>
          </w:p>
        </w:tc>
      </w:tr>
    </w:tbl>
    <w:p w14:paraId="1E4CA5A5">
      <w:pPr>
        <w:pStyle w:val="4"/>
        <w:jc w:val="both"/>
      </w:pPr>
      <w:r>
        <w:rPr>
          <w:rFonts w:ascii="Times New Roman" w:hAnsi="Times New Roman" w:eastAsia="Times New Roman"/>
          <w:sz w:val="20"/>
        </w:rPr>
        <w:t xml:space="preserve">where </w:t>
      </w:r>
      <m:oMath>
        <m:r>
          <m:rPr/>
          <m:t>β</m:t>
        </m:r>
        <m:r>
          <m:rPr>
            <m:sty m:val="p"/>
          </m:rPr>
          <m:t>=</m:t>
        </m:r>
        <m:r>
          <m:rPr/>
          <m:t>0.5</m:t>
        </m:r>
      </m:oMath>
      <w:r>
        <w:rPr>
          <w:rFonts w:ascii="Times New Roman" w:hAnsi="Times New Roman" w:eastAsia="Times New Roman"/>
          <w:sz w:val="20"/>
        </w:rPr>
        <w:t>–</w:t>
      </w:r>
      <m:oMath>
        <m:r>
          <m:rPr/>
          <m:t>1.0</m:t>
        </m:r>
      </m:oMath>
      <w:r>
        <w:rPr>
          <w:rFonts w:ascii="Times New Roman" w:hAnsi="Times New Roman" w:eastAsia="Times New Roman"/>
          <w:sz w:val="20"/>
        </w:rPr>
        <w:t xml:space="preserve">. Related sparse-view designs further modulate masking with depth and density cues </w:t>
      </w:r>
      <w:r>
        <w:rPr>
          <w:rFonts w:ascii="Times New Roman" w:hAnsi="Times New Roman" w:eastAsia="Times New Roman"/>
          <w:sz w:val="20"/>
          <w:vertAlign w:val="superscript"/>
        </w:rPr>
        <w:t>[44]</w:t>
      </w:r>
      <w:r>
        <w:rPr>
          <w:rFonts w:ascii="Times New Roman" w:hAnsi="Times New Roman" w:eastAsia="Times New Roman"/>
          <w:sz w:val="20"/>
        </w:rPr>
        <w:t xml:space="preserve">, or drop anchors and spherical harmonics </w:t>
      </w:r>
      <w:r>
        <w:rPr>
          <w:rFonts w:ascii="Times New Roman" w:hAnsi="Times New Roman" w:eastAsia="Times New Roman"/>
          <w:sz w:val="20"/>
          <w:vertAlign w:val="superscript"/>
        </w:rPr>
        <w:t>[29]</w:t>
      </w:r>
      <w:r>
        <w:rPr>
          <w:rFonts w:ascii="Times New Roman" w:hAnsi="Times New Roman" w:eastAsia="Times New Roman"/>
          <w:sz w:val="20"/>
        </w:rPr>
        <w:t>; DVR instead uses a progressive random schedule with an uncompensated dropout branch.</w:t>
      </w:r>
    </w:p>
    <w:bookmarkEnd w:id="1"/>
    <w:bookmarkEnd w:id="5"/>
    <w:p w14:paraId="0C58E381">
      <w:pPr>
        <w:pStyle w:val="2"/>
      </w:pPr>
      <w:bookmarkStart w:id="6" w:name="_experiments"/>
      <w:r>
        <w:rPr>
          <w:rFonts w:ascii="Times New Roman" w:hAnsi="Times New Roman" w:eastAsia="Times New Roman"/>
          <w:b/>
          <w:sz w:val="22"/>
        </w:rPr>
        <w:t>EXPERIMENTS</w:t>
      </w:r>
    </w:p>
    <w:p w14:paraId="3831B59F">
      <w:pPr>
        <w:pStyle w:val="3"/>
      </w:pPr>
      <w:bookmarkStart w:id="7" w:name="_8c71682b4dd082a37c036392af9a2ba722ffa00"/>
      <w:r>
        <w:rPr>
          <w:rFonts w:ascii="Times New Roman" w:hAnsi="Times New Roman" w:eastAsia="Times New Roman"/>
          <w:b/>
          <w:sz w:val="20"/>
        </w:rPr>
        <w:t>Experimental Setup and Datasets</w:t>
      </w:r>
    </w:p>
    <w:p w14:paraId="0DBE7DA6">
      <w:pPr>
        <w:pStyle w:val="4"/>
        <w:jc w:val="both"/>
      </w:pPr>
      <w:r>
        <w:rPr>
          <w:rFonts w:ascii="Times New Roman" w:hAnsi="Times New Roman" w:eastAsia="Times New Roman"/>
          <w:sz w:val="20"/>
        </w:rPr>
        <w:t xml:space="preserve">We evaluate SynGS on Mip-NeRF 360 (unbounded 360° scenes) </w:t>
      </w:r>
      <w:r>
        <w:rPr>
          <w:rFonts w:ascii="Times New Roman" w:hAnsi="Times New Roman" w:eastAsia="Times New Roman"/>
          <w:sz w:val="20"/>
          <w:vertAlign w:val="superscript"/>
        </w:rPr>
        <w:t>[45]</w:t>
      </w:r>
      <w:r>
        <w:rPr>
          <w:rFonts w:ascii="Times New Roman" w:hAnsi="Times New Roman" w:eastAsia="Times New Roman"/>
          <w:sz w:val="20"/>
        </w:rPr>
        <w:t xml:space="preserve"> and LLFF (forward-facing real captures) </w:t>
      </w:r>
      <w:r>
        <w:rPr>
          <w:rFonts w:ascii="Times New Roman" w:hAnsi="Times New Roman" w:eastAsia="Times New Roman"/>
          <w:sz w:val="20"/>
          <w:vertAlign w:val="superscript"/>
        </w:rPr>
        <w:t>[46]</w:t>
      </w:r>
      <w:r>
        <w:rPr>
          <w:rFonts w:ascii="Times New Roman" w:hAnsi="Times New Roman" w:eastAsia="Times New Roman"/>
          <w:sz w:val="20"/>
        </w:rPr>
        <w:t xml:space="preserve">. All images are downsampled by a factor of 8. Mip-NeRF 360 scenes are tested with 4, 6, and 9 uniformly sampled input views. Metrics are PSNR, SSIM, and LPIPS. We compare against the baselines in Table 1 and Table 2. Table 1 includes RegNeRF </w:t>
      </w:r>
      <w:r>
        <w:rPr>
          <w:rFonts w:ascii="Times New Roman" w:hAnsi="Times New Roman" w:eastAsia="Times New Roman"/>
          <w:sz w:val="20"/>
          <w:vertAlign w:val="superscript"/>
        </w:rPr>
        <w:t>[2]</w:t>
      </w:r>
      <w:r>
        <w:rPr>
          <w:rFonts w:ascii="Times New Roman" w:hAnsi="Times New Roman" w:eastAsia="Times New Roman"/>
          <w:sz w:val="20"/>
        </w:rPr>
        <w:t xml:space="preserve">, SparseNeRF </w:t>
      </w:r>
      <w:r>
        <w:rPr>
          <w:rFonts w:ascii="Times New Roman" w:hAnsi="Times New Roman" w:eastAsia="Times New Roman"/>
          <w:sz w:val="20"/>
          <w:vertAlign w:val="superscript"/>
        </w:rPr>
        <w:t>[15]</w:t>
      </w:r>
      <w:r>
        <w:rPr>
          <w:rFonts w:ascii="Times New Roman" w:hAnsi="Times New Roman" w:eastAsia="Times New Roman"/>
          <w:sz w:val="20"/>
        </w:rPr>
        <w:t xml:space="preserve">, 3DGS </w:t>
      </w:r>
      <w:r>
        <w:rPr>
          <w:rFonts w:ascii="Times New Roman" w:hAnsi="Times New Roman" w:eastAsia="Times New Roman"/>
          <w:sz w:val="20"/>
          <w:vertAlign w:val="superscript"/>
        </w:rPr>
        <w:t>[3]</w:t>
      </w:r>
      <w:r>
        <w:rPr>
          <w:rFonts w:ascii="Times New Roman" w:hAnsi="Times New Roman" w:eastAsia="Times New Roman"/>
          <w:sz w:val="20"/>
        </w:rPr>
        <w:t xml:space="preserve">, CoR-GS </w:t>
      </w:r>
      <w:r>
        <w:rPr>
          <w:rFonts w:ascii="Times New Roman" w:hAnsi="Times New Roman" w:eastAsia="Times New Roman"/>
          <w:sz w:val="20"/>
          <w:vertAlign w:val="superscript"/>
        </w:rPr>
        <w:t>[13]</w:t>
      </w:r>
      <w:r>
        <w:rPr>
          <w:rFonts w:ascii="Times New Roman" w:hAnsi="Times New Roman" w:eastAsia="Times New Roman"/>
          <w:sz w:val="20"/>
        </w:rPr>
        <w:t xml:space="preserve">, DropGaussian </w:t>
      </w:r>
      <w:r>
        <w:rPr>
          <w:rFonts w:ascii="Times New Roman" w:hAnsi="Times New Roman" w:eastAsia="Times New Roman"/>
          <w:sz w:val="20"/>
          <w:vertAlign w:val="superscript"/>
        </w:rPr>
        <w:t>[9]</w:t>
      </w:r>
      <w:r>
        <w:rPr>
          <w:rFonts w:ascii="Times New Roman" w:hAnsi="Times New Roman" w:eastAsia="Times New Roman"/>
          <w:sz w:val="20"/>
        </w:rPr>
        <w:t xml:space="preserve">, and D²GS </w:t>
      </w:r>
      <w:r>
        <w:rPr>
          <w:rFonts w:ascii="Times New Roman" w:hAnsi="Times New Roman" w:eastAsia="Times New Roman"/>
          <w:sz w:val="20"/>
          <w:vertAlign w:val="superscript"/>
        </w:rPr>
        <w:t>[44]</w:t>
      </w:r>
      <w:r>
        <w:rPr>
          <w:rFonts w:ascii="Times New Roman" w:hAnsi="Times New Roman" w:eastAsia="Times New Roman"/>
          <w:sz w:val="20"/>
        </w:rPr>
        <w:t xml:space="preserve">. Table 2 uses the same 3DGS-based baselines, with FreeNeRF </w:t>
      </w:r>
      <w:r>
        <w:rPr>
          <w:rFonts w:ascii="Times New Roman" w:hAnsi="Times New Roman" w:eastAsia="Times New Roman"/>
          <w:sz w:val="20"/>
          <w:vertAlign w:val="superscript"/>
        </w:rPr>
        <w:t>[1]</w:t>
      </w:r>
      <w:r>
        <w:rPr>
          <w:rFonts w:ascii="Times New Roman" w:hAnsi="Times New Roman" w:eastAsia="Times New Roman"/>
          <w:sz w:val="20"/>
        </w:rPr>
        <w:t xml:space="preserve"> in place of SparseNeRF among the NeRF-based methods.</w:t>
      </w:r>
    </w:p>
    <w:p w14:paraId="684E6B78">
      <w:pPr>
        <w:pStyle w:val="4"/>
        <w:jc w:val="both"/>
      </w:pPr>
      <w:r>
        <w:rPr>
          <w:rFonts w:ascii="Times New Roman" w:hAnsi="Times New Roman" w:eastAsia="Times New Roman"/>
          <w:sz w:val="20"/>
        </w:rPr>
        <w:t>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7"/>
    <w:p w14:paraId="1F8A876B">
      <w:pPr>
        <w:pStyle w:val="3"/>
      </w:pPr>
      <w:bookmarkStart w:id="8" w:name="_c8eb0011d78a6c0369266f6d6a40137701048a6"/>
      <w:r>
        <w:rPr>
          <w:rFonts w:ascii="Times New Roman" w:hAnsi="Times New Roman" w:eastAsia="Times New Roman"/>
          <w:b/>
          <w:sz w:val="20"/>
        </w:rPr>
        <w:t>Quantitative and Qualitative Results</w:t>
      </w:r>
    </w:p>
    <w:p w14:paraId="27C160AD">
      <w:pPr>
        <w:pStyle w:val="45"/>
        <w:jc w:val="both"/>
      </w:pPr>
      <w:r>
        <w:rPr>
          <w:rFonts w:ascii="Times New Roman" w:hAnsi="Times New Roman" w:eastAsia="Times New Roman"/>
          <w:sz w:val="18"/>
        </w:rPr>
        <w:t>Table 1. Performance comparisons of sparse-view synthesis on Mip-NeRF 360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7F7398D6">
        <w:trPr>
          <w:jc w:val="center"/>
        </w:trPr>
        <w:tc>
          <w:tcPr>
            <w:tcW w:w="883" w:type="dxa"/>
          </w:tcPr>
          <w:p w14:paraId="7C78CB08">
            <w:pPr>
              <w:jc w:val="center"/>
            </w:pPr>
          </w:p>
        </w:tc>
        <w:tc>
          <w:tcPr>
            <w:tcW w:w="883" w:type="dxa"/>
          </w:tcPr>
          <w:p w14:paraId="19C3D726">
            <w:pPr>
              <w:jc w:val="center"/>
            </w:pPr>
            <w:r>
              <w:rPr>
                <w:rFonts w:ascii="Times New Roman" w:hAnsi="Times New Roman" w:eastAsia="Times New Roman"/>
                <w:b/>
                <w:sz w:val="16"/>
              </w:rPr>
              <w:t>Methods</w:t>
            </w:r>
          </w:p>
        </w:tc>
        <w:tc>
          <w:tcPr>
            <w:tcW w:w="2649" w:type="dxa"/>
            <w:gridSpan w:val="3"/>
          </w:tcPr>
          <w:p w14:paraId="00E49935">
            <w:pPr>
              <w:jc w:val="center"/>
            </w:pPr>
            <w:r>
              <w:rPr>
                <w:rFonts w:ascii="Times New Roman" w:hAnsi="Times New Roman" w:eastAsia="Times New Roman"/>
                <w:b/>
                <w:sz w:val="16"/>
              </w:rPr>
              <w:t>Mip-NeRF 360 (4-view)</w:t>
            </w:r>
          </w:p>
        </w:tc>
        <w:tc>
          <w:tcPr>
            <w:tcW w:w="2649" w:type="dxa"/>
            <w:gridSpan w:val="3"/>
          </w:tcPr>
          <w:p w14:paraId="52F71681">
            <w:pPr>
              <w:jc w:val="center"/>
            </w:pPr>
            <w:r>
              <w:rPr>
                <w:rFonts w:ascii="Times New Roman" w:hAnsi="Times New Roman" w:eastAsia="Times New Roman"/>
                <w:b/>
                <w:sz w:val="16"/>
              </w:rPr>
              <w:t>Mip-NeRF 360 (6-view)</w:t>
            </w:r>
          </w:p>
        </w:tc>
        <w:tc>
          <w:tcPr>
            <w:tcW w:w="2649" w:type="dxa"/>
            <w:gridSpan w:val="3"/>
          </w:tcPr>
          <w:p w14:paraId="2C96F57A">
            <w:pPr>
              <w:jc w:val="center"/>
            </w:pPr>
            <w:r>
              <w:rPr>
                <w:rFonts w:ascii="Times New Roman" w:hAnsi="Times New Roman" w:eastAsia="Times New Roman"/>
                <w:b/>
                <w:sz w:val="16"/>
              </w:rPr>
              <w:t>Mip-NeRF 360 (9-view)</w:t>
            </w:r>
          </w:p>
        </w:tc>
      </w:tr>
      <w:tr w14:paraId="0C90B4FB">
        <w:trPr>
          <w:jc w:val="center"/>
        </w:trPr>
        <w:tc>
          <w:tcPr>
            <w:tcW w:w="883" w:type="dxa"/>
          </w:tcPr>
          <w:p w14:paraId="32818F9F">
            <w:pPr>
              <w:jc w:val="center"/>
            </w:pPr>
          </w:p>
        </w:tc>
        <w:tc>
          <w:tcPr>
            <w:tcW w:w="883" w:type="dxa"/>
          </w:tcPr>
          <w:p w14:paraId="4ECD7D76">
            <w:pPr>
              <w:jc w:val="center"/>
            </w:pPr>
          </w:p>
        </w:tc>
        <w:tc>
          <w:tcPr>
            <w:tcW w:w="883" w:type="dxa"/>
          </w:tcPr>
          <w:p w14:paraId="7074C71E">
            <w:pPr>
              <w:jc w:val="center"/>
            </w:pPr>
            <w:r>
              <w:rPr>
                <w:rFonts w:ascii="Times New Roman" w:hAnsi="Times New Roman" w:eastAsia="Times New Roman"/>
                <w:b/>
                <w:sz w:val="14"/>
              </w:rPr>
              <w:t>LPIPS*↓</w:t>
            </w:r>
          </w:p>
        </w:tc>
        <w:tc>
          <w:tcPr>
            <w:tcW w:w="883" w:type="dxa"/>
          </w:tcPr>
          <w:p w14:paraId="7E9C4A22">
            <w:pPr>
              <w:jc w:val="center"/>
            </w:pPr>
            <w:r>
              <w:rPr>
                <w:rFonts w:ascii="Times New Roman" w:hAnsi="Times New Roman" w:eastAsia="Times New Roman"/>
                <w:b/>
                <w:sz w:val="14"/>
              </w:rPr>
              <w:t>PSNR↑</w:t>
            </w:r>
          </w:p>
        </w:tc>
        <w:tc>
          <w:tcPr>
            <w:tcW w:w="883" w:type="dxa"/>
          </w:tcPr>
          <w:p w14:paraId="7B1EB23B">
            <w:pPr>
              <w:jc w:val="center"/>
            </w:pPr>
            <w:r>
              <w:rPr>
                <w:rFonts w:ascii="Times New Roman" w:hAnsi="Times New Roman" w:eastAsia="Times New Roman"/>
                <w:b/>
                <w:sz w:val="14"/>
              </w:rPr>
              <w:t>SSIM↑</w:t>
            </w:r>
          </w:p>
        </w:tc>
        <w:tc>
          <w:tcPr>
            <w:tcW w:w="883" w:type="dxa"/>
          </w:tcPr>
          <w:p w14:paraId="049A55C9">
            <w:pPr>
              <w:jc w:val="center"/>
            </w:pPr>
            <w:r>
              <w:rPr>
                <w:rFonts w:ascii="Times New Roman" w:hAnsi="Times New Roman" w:eastAsia="Times New Roman"/>
                <w:b/>
                <w:sz w:val="14"/>
              </w:rPr>
              <w:t>LPIPS*↓</w:t>
            </w:r>
          </w:p>
        </w:tc>
        <w:tc>
          <w:tcPr>
            <w:tcW w:w="883" w:type="dxa"/>
          </w:tcPr>
          <w:p w14:paraId="24383CB9">
            <w:pPr>
              <w:jc w:val="center"/>
            </w:pPr>
            <w:r>
              <w:rPr>
                <w:rFonts w:ascii="Times New Roman" w:hAnsi="Times New Roman" w:eastAsia="Times New Roman"/>
                <w:b/>
                <w:sz w:val="14"/>
              </w:rPr>
              <w:t>PSNR↑</w:t>
            </w:r>
          </w:p>
        </w:tc>
        <w:tc>
          <w:tcPr>
            <w:tcW w:w="883" w:type="dxa"/>
          </w:tcPr>
          <w:p w14:paraId="21C2464F">
            <w:pPr>
              <w:jc w:val="center"/>
            </w:pPr>
            <w:r>
              <w:rPr>
                <w:rFonts w:ascii="Times New Roman" w:hAnsi="Times New Roman" w:eastAsia="Times New Roman"/>
                <w:b/>
                <w:sz w:val="14"/>
              </w:rPr>
              <w:t>SSIM↑</w:t>
            </w:r>
          </w:p>
        </w:tc>
        <w:tc>
          <w:tcPr>
            <w:tcW w:w="883" w:type="dxa"/>
          </w:tcPr>
          <w:p w14:paraId="6B91F77C">
            <w:pPr>
              <w:jc w:val="center"/>
            </w:pPr>
            <w:r>
              <w:rPr>
                <w:rFonts w:ascii="Times New Roman" w:hAnsi="Times New Roman" w:eastAsia="Times New Roman"/>
                <w:b/>
                <w:sz w:val="14"/>
              </w:rPr>
              <w:t>LPIPS*↓</w:t>
            </w:r>
          </w:p>
        </w:tc>
        <w:tc>
          <w:tcPr>
            <w:tcW w:w="883" w:type="dxa"/>
          </w:tcPr>
          <w:p w14:paraId="2E02324F">
            <w:pPr>
              <w:jc w:val="center"/>
            </w:pPr>
            <w:r>
              <w:rPr>
                <w:rFonts w:ascii="Times New Roman" w:hAnsi="Times New Roman" w:eastAsia="Times New Roman"/>
                <w:b/>
                <w:sz w:val="14"/>
              </w:rPr>
              <w:t>PSNR↑</w:t>
            </w:r>
          </w:p>
        </w:tc>
        <w:tc>
          <w:tcPr>
            <w:tcW w:w="883" w:type="dxa"/>
          </w:tcPr>
          <w:p w14:paraId="463DC809">
            <w:pPr>
              <w:jc w:val="center"/>
            </w:pPr>
            <w:r>
              <w:rPr>
                <w:rFonts w:ascii="Times New Roman" w:hAnsi="Times New Roman" w:eastAsia="Times New Roman"/>
                <w:b/>
                <w:sz w:val="14"/>
              </w:rPr>
              <w:t>SSIM↑</w:t>
            </w:r>
          </w:p>
        </w:tc>
      </w:tr>
      <w:tr w14:paraId="79F169C8">
        <w:trPr>
          <w:jc w:val="center"/>
        </w:trPr>
        <w:tc>
          <w:tcPr>
            <w:tcW w:w="883" w:type="dxa"/>
            <w:vMerge w:val="restart"/>
          </w:tcPr>
          <w:p w14:paraId="5FF7DBB0">
            <w:pPr>
              <w:jc w:val="center"/>
            </w:pPr>
            <w:r>
              <w:rPr>
                <w:rFonts w:ascii="Times New Roman" w:hAnsi="Times New Roman" w:eastAsia="Times New Roman"/>
                <w:b/>
                <w:sz w:val="14"/>
              </w:rPr>
              <w:t>NeRF-based</w:t>
            </w:r>
          </w:p>
        </w:tc>
        <w:tc>
          <w:tcPr>
            <w:tcW w:w="883" w:type="dxa"/>
          </w:tcPr>
          <w:p w14:paraId="6EFF15E4">
            <w:pPr>
              <w:jc w:val="left"/>
            </w:pPr>
            <w:r>
              <w:rPr>
                <w:rFonts w:ascii="Times New Roman" w:hAnsi="Times New Roman" w:eastAsia="Times New Roman"/>
                <w:b w:val="0"/>
                <w:sz w:val="16"/>
              </w:rPr>
              <w:t>RegNeRF</w:t>
            </w:r>
          </w:p>
        </w:tc>
        <w:tc>
          <w:tcPr>
            <w:tcW w:w="883" w:type="dxa"/>
          </w:tcPr>
          <w:p w14:paraId="14F0C91D">
            <w:pPr>
              <w:jc w:val="center"/>
            </w:pPr>
            <w:r>
              <w:rPr>
                <w:rFonts w:ascii="Times New Roman" w:hAnsi="Times New Roman" w:eastAsia="Times New Roman"/>
                <w:b w:val="0"/>
                <w:sz w:val="16"/>
              </w:rPr>
              <w:t>19.88</w:t>
            </w:r>
          </w:p>
        </w:tc>
        <w:tc>
          <w:tcPr>
            <w:tcW w:w="883" w:type="dxa"/>
          </w:tcPr>
          <w:p w14:paraId="07CBBAF8">
            <w:pPr>
              <w:jc w:val="center"/>
            </w:pPr>
            <w:r>
              <w:rPr>
                <w:rFonts w:ascii="Times New Roman" w:hAnsi="Times New Roman" w:eastAsia="Times New Roman"/>
                <w:b w:val="0"/>
                <w:sz w:val="16"/>
              </w:rPr>
              <w:t>12.59</w:t>
            </w:r>
          </w:p>
        </w:tc>
        <w:tc>
          <w:tcPr>
            <w:tcW w:w="883" w:type="dxa"/>
          </w:tcPr>
          <w:p w14:paraId="2E5ACC98">
            <w:pPr>
              <w:jc w:val="center"/>
            </w:pPr>
            <w:r>
              <w:rPr>
                <w:rFonts w:ascii="Times New Roman" w:hAnsi="Times New Roman" w:eastAsia="Times New Roman"/>
                <w:b w:val="0"/>
                <w:sz w:val="16"/>
              </w:rPr>
              <w:t>0.841</w:t>
            </w:r>
          </w:p>
        </w:tc>
        <w:tc>
          <w:tcPr>
            <w:tcW w:w="883" w:type="dxa"/>
          </w:tcPr>
          <w:p w14:paraId="543F1F10">
            <w:pPr>
              <w:jc w:val="center"/>
            </w:pPr>
            <w:r>
              <w:rPr>
                <w:rFonts w:ascii="Times New Roman" w:hAnsi="Times New Roman" w:eastAsia="Times New Roman"/>
                <w:b w:val="0"/>
                <w:sz w:val="16"/>
              </w:rPr>
              <w:t>20.72</w:t>
            </w:r>
          </w:p>
        </w:tc>
        <w:tc>
          <w:tcPr>
            <w:tcW w:w="883" w:type="dxa"/>
          </w:tcPr>
          <w:p w14:paraId="423B5CB6">
            <w:pPr>
              <w:jc w:val="center"/>
            </w:pPr>
            <w:r>
              <w:rPr>
                <w:rFonts w:ascii="Times New Roman" w:hAnsi="Times New Roman" w:eastAsia="Times New Roman"/>
                <w:b w:val="0"/>
                <w:sz w:val="16"/>
              </w:rPr>
              <w:t>13.41</w:t>
            </w:r>
          </w:p>
        </w:tc>
        <w:tc>
          <w:tcPr>
            <w:tcW w:w="883" w:type="dxa"/>
          </w:tcPr>
          <w:p w14:paraId="0575DAC9">
            <w:pPr>
              <w:jc w:val="center"/>
            </w:pPr>
            <w:r>
              <w:rPr>
                <w:rFonts w:ascii="Times New Roman" w:hAnsi="Times New Roman" w:eastAsia="Times New Roman"/>
                <w:b w:val="0"/>
                <w:sz w:val="16"/>
              </w:rPr>
              <w:t>0.847</w:t>
            </w:r>
          </w:p>
        </w:tc>
        <w:tc>
          <w:tcPr>
            <w:tcW w:w="883" w:type="dxa"/>
          </w:tcPr>
          <w:p w14:paraId="298BC7FC">
            <w:pPr>
              <w:jc w:val="center"/>
            </w:pPr>
            <w:r>
              <w:rPr>
                <w:rFonts w:ascii="Times New Roman" w:hAnsi="Times New Roman" w:eastAsia="Times New Roman"/>
                <w:b w:val="0"/>
                <w:sz w:val="16"/>
              </w:rPr>
              <w:t>19.70</w:t>
            </w:r>
          </w:p>
        </w:tc>
        <w:tc>
          <w:tcPr>
            <w:tcW w:w="883" w:type="dxa"/>
          </w:tcPr>
          <w:p w14:paraId="52A20125">
            <w:pPr>
              <w:jc w:val="center"/>
            </w:pPr>
            <w:r>
              <w:rPr>
                <w:rFonts w:ascii="Times New Roman" w:hAnsi="Times New Roman" w:eastAsia="Times New Roman"/>
                <w:b w:val="0"/>
                <w:sz w:val="16"/>
              </w:rPr>
              <w:t>13.68</w:t>
            </w:r>
          </w:p>
        </w:tc>
        <w:tc>
          <w:tcPr>
            <w:tcW w:w="883" w:type="dxa"/>
          </w:tcPr>
          <w:p w14:paraId="584F38E2">
            <w:pPr>
              <w:jc w:val="center"/>
            </w:pPr>
            <w:r>
              <w:rPr>
                <w:rFonts w:ascii="Times New Roman" w:hAnsi="Times New Roman" w:eastAsia="Times New Roman"/>
                <w:b w:val="0"/>
                <w:sz w:val="16"/>
              </w:rPr>
              <w:t>0.852</w:t>
            </w:r>
          </w:p>
        </w:tc>
      </w:tr>
      <w:tr w14:paraId="1ACE8B24">
        <w:trPr>
          <w:jc w:val="center"/>
        </w:trPr>
        <w:tc>
          <w:tcPr>
            <w:tcW w:w="883" w:type="dxa"/>
            <w:vMerge w:val="continue"/>
          </w:tcPr>
          <w:p w14:paraId="4FFC8A2D"/>
        </w:tc>
        <w:tc>
          <w:tcPr>
            <w:tcW w:w="883" w:type="dxa"/>
          </w:tcPr>
          <w:p w14:paraId="46736A65">
            <w:pPr>
              <w:jc w:val="left"/>
            </w:pPr>
            <w:r>
              <w:rPr>
                <w:rFonts w:ascii="Times New Roman" w:hAnsi="Times New Roman" w:eastAsia="Times New Roman"/>
                <w:b w:val="0"/>
                <w:sz w:val="16"/>
              </w:rPr>
              <w:t>SparseNeRF</w:t>
            </w:r>
          </w:p>
        </w:tc>
        <w:tc>
          <w:tcPr>
            <w:tcW w:w="883" w:type="dxa"/>
          </w:tcPr>
          <w:p w14:paraId="22259934">
            <w:pPr>
              <w:jc w:val="center"/>
            </w:pPr>
            <w:r>
              <w:rPr>
                <w:rFonts w:ascii="Times New Roman" w:hAnsi="Times New Roman" w:eastAsia="Times New Roman"/>
                <w:b w:val="0"/>
                <w:sz w:val="16"/>
              </w:rPr>
              <w:t>17.76</w:t>
            </w:r>
          </w:p>
        </w:tc>
        <w:tc>
          <w:tcPr>
            <w:tcW w:w="883" w:type="dxa"/>
          </w:tcPr>
          <w:p w14:paraId="2A542786">
            <w:pPr>
              <w:jc w:val="center"/>
            </w:pPr>
            <w:r>
              <w:rPr>
                <w:rFonts w:ascii="Times New Roman" w:hAnsi="Times New Roman" w:eastAsia="Times New Roman"/>
                <w:b w:val="0"/>
                <w:sz w:val="16"/>
              </w:rPr>
              <w:t>12.83</w:t>
            </w:r>
          </w:p>
        </w:tc>
        <w:tc>
          <w:tcPr>
            <w:tcW w:w="883" w:type="dxa"/>
          </w:tcPr>
          <w:p w14:paraId="798597FF">
            <w:pPr>
              <w:jc w:val="center"/>
            </w:pPr>
            <w:r>
              <w:rPr>
                <w:rFonts w:ascii="Times New Roman" w:hAnsi="Times New Roman" w:eastAsia="Times New Roman"/>
                <w:b w:val="0"/>
                <w:sz w:val="16"/>
              </w:rPr>
              <w:t>0.845</w:t>
            </w:r>
          </w:p>
        </w:tc>
        <w:tc>
          <w:tcPr>
            <w:tcW w:w="883" w:type="dxa"/>
          </w:tcPr>
          <w:p w14:paraId="3D8C836A">
            <w:pPr>
              <w:jc w:val="center"/>
            </w:pPr>
            <w:r>
              <w:rPr>
                <w:rFonts w:ascii="Times New Roman" w:hAnsi="Times New Roman" w:eastAsia="Times New Roman"/>
                <w:b w:val="0"/>
                <w:sz w:val="16"/>
              </w:rPr>
              <w:t>19.74</w:t>
            </w:r>
          </w:p>
        </w:tc>
        <w:tc>
          <w:tcPr>
            <w:tcW w:w="883" w:type="dxa"/>
          </w:tcPr>
          <w:p w14:paraId="0426650B">
            <w:pPr>
              <w:jc w:val="center"/>
            </w:pPr>
            <w:r>
              <w:rPr>
                <w:rFonts w:ascii="Times New Roman" w:hAnsi="Times New Roman" w:eastAsia="Times New Roman"/>
                <w:b w:val="0"/>
                <w:sz w:val="16"/>
              </w:rPr>
              <w:t>13.42</w:t>
            </w:r>
          </w:p>
        </w:tc>
        <w:tc>
          <w:tcPr>
            <w:tcW w:w="883" w:type="dxa"/>
          </w:tcPr>
          <w:p w14:paraId="2F932126">
            <w:pPr>
              <w:jc w:val="center"/>
            </w:pPr>
            <w:r>
              <w:rPr>
                <w:rFonts w:ascii="Times New Roman" w:hAnsi="Times New Roman" w:eastAsia="Times New Roman"/>
                <w:b w:val="0"/>
                <w:sz w:val="16"/>
              </w:rPr>
              <w:t>0.861</w:t>
            </w:r>
          </w:p>
        </w:tc>
        <w:tc>
          <w:tcPr>
            <w:tcW w:w="883" w:type="dxa"/>
          </w:tcPr>
          <w:p w14:paraId="0134CD38">
            <w:pPr>
              <w:jc w:val="center"/>
            </w:pPr>
            <w:r>
              <w:rPr>
                <w:rFonts w:ascii="Times New Roman" w:hAnsi="Times New Roman" w:eastAsia="Times New Roman"/>
                <w:b w:val="0"/>
                <w:sz w:val="16"/>
              </w:rPr>
              <w:t>21.56</w:t>
            </w:r>
          </w:p>
        </w:tc>
        <w:tc>
          <w:tcPr>
            <w:tcW w:w="883" w:type="dxa"/>
          </w:tcPr>
          <w:p w14:paraId="4FE2B1B8">
            <w:pPr>
              <w:jc w:val="center"/>
            </w:pPr>
            <w:r>
              <w:rPr>
                <w:rFonts w:ascii="Times New Roman" w:hAnsi="Times New Roman" w:eastAsia="Times New Roman"/>
                <w:b w:val="0"/>
                <w:sz w:val="16"/>
              </w:rPr>
              <w:t>14.36</w:t>
            </w:r>
          </w:p>
        </w:tc>
        <w:tc>
          <w:tcPr>
            <w:tcW w:w="883" w:type="dxa"/>
          </w:tcPr>
          <w:p w14:paraId="18E76B4F">
            <w:pPr>
              <w:jc w:val="center"/>
            </w:pPr>
            <w:r>
              <w:rPr>
                <w:rFonts w:ascii="Times New Roman" w:hAnsi="Times New Roman" w:eastAsia="Times New Roman"/>
                <w:b w:val="0"/>
                <w:sz w:val="16"/>
              </w:rPr>
              <w:t>0.873</w:t>
            </w:r>
          </w:p>
        </w:tc>
      </w:tr>
      <w:tr w14:paraId="69401CA2">
        <w:trPr>
          <w:jc w:val="center"/>
        </w:trPr>
        <w:tc>
          <w:tcPr>
            <w:tcW w:w="883" w:type="dxa"/>
            <w:vMerge w:val="restart"/>
          </w:tcPr>
          <w:p w14:paraId="20F09D46">
            <w:pPr>
              <w:jc w:val="center"/>
            </w:pPr>
            <w:r>
              <w:rPr>
                <w:rFonts w:ascii="Times New Roman" w:hAnsi="Times New Roman" w:eastAsia="Times New Roman"/>
                <w:b/>
                <w:sz w:val="14"/>
              </w:rPr>
              <w:t>3DGS-based</w:t>
            </w:r>
          </w:p>
        </w:tc>
        <w:tc>
          <w:tcPr>
            <w:tcW w:w="883" w:type="dxa"/>
          </w:tcPr>
          <w:p w14:paraId="25A4FA1D">
            <w:pPr>
              <w:jc w:val="left"/>
            </w:pPr>
            <w:r>
              <w:rPr>
                <w:rFonts w:ascii="Times New Roman" w:hAnsi="Times New Roman" w:eastAsia="Times New Roman"/>
                <w:b w:val="0"/>
                <w:sz w:val="16"/>
              </w:rPr>
              <w:t>3DGS</w:t>
            </w:r>
          </w:p>
        </w:tc>
        <w:tc>
          <w:tcPr>
            <w:tcW w:w="883" w:type="dxa"/>
          </w:tcPr>
          <w:p w14:paraId="572A55AF">
            <w:pPr>
              <w:jc w:val="center"/>
            </w:pPr>
            <w:r>
              <w:rPr>
                <w:rFonts w:ascii="Times New Roman" w:hAnsi="Times New Roman" w:eastAsia="Times New Roman"/>
                <w:b w:val="0"/>
                <w:sz w:val="16"/>
              </w:rPr>
              <w:t>10.80</w:t>
            </w:r>
          </w:p>
        </w:tc>
        <w:tc>
          <w:tcPr>
            <w:tcW w:w="883" w:type="dxa"/>
          </w:tcPr>
          <w:p w14:paraId="13EA3EFB">
            <w:pPr>
              <w:jc w:val="center"/>
            </w:pPr>
            <w:r>
              <w:rPr>
                <w:rFonts w:ascii="Times New Roman" w:hAnsi="Times New Roman" w:eastAsia="Times New Roman"/>
                <w:b w:val="0"/>
                <w:sz w:val="16"/>
              </w:rPr>
              <w:t>20.31</w:t>
            </w:r>
          </w:p>
        </w:tc>
        <w:tc>
          <w:tcPr>
            <w:tcW w:w="883" w:type="dxa"/>
          </w:tcPr>
          <w:p w14:paraId="6281D4FE">
            <w:pPr>
              <w:jc w:val="center"/>
            </w:pPr>
            <w:r>
              <w:rPr>
                <w:rFonts w:ascii="Times New Roman" w:hAnsi="Times New Roman" w:eastAsia="Times New Roman"/>
                <w:b w:val="0"/>
                <w:sz w:val="16"/>
              </w:rPr>
              <w:t>0.899</w:t>
            </w:r>
          </w:p>
        </w:tc>
        <w:tc>
          <w:tcPr>
            <w:tcW w:w="883" w:type="dxa"/>
          </w:tcPr>
          <w:p w14:paraId="29210F98">
            <w:pPr>
              <w:jc w:val="center"/>
            </w:pPr>
            <w:r>
              <w:rPr>
                <w:rFonts w:ascii="Times New Roman" w:hAnsi="Times New Roman" w:eastAsia="Times New Roman"/>
                <w:b w:val="0"/>
                <w:sz w:val="16"/>
              </w:rPr>
              <w:t>8.38</w:t>
            </w:r>
          </w:p>
        </w:tc>
        <w:tc>
          <w:tcPr>
            <w:tcW w:w="883" w:type="dxa"/>
          </w:tcPr>
          <w:p w14:paraId="61822BA3">
            <w:pPr>
              <w:jc w:val="center"/>
            </w:pPr>
            <w:r>
              <w:rPr>
                <w:rFonts w:ascii="Times New Roman" w:hAnsi="Times New Roman" w:eastAsia="Times New Roman"/>
                <w:b w:val="0"/>
                <w:sz w:val="16"/>
              </w:rPr>
              <w:t>22.12</w:t>
            </w:r>
          </w:p>
        </w:tc>
        <w:tc>
          <w:tcPr>
            <w:tcW w:w="883" w:type="dxa"/>
          </w:tcPr>
          <w:p w14:paraId="177D4AB9">
            <w:pPr>
              <w:jc w:val="center"/>
            </w:pPr>
            <w:r>
              <w:rPr>
                <w:rFonts w:ascii="Times New Roman" w:hAnsi="Times New Roman" w:eastAsia="Times New Roman"/>
                <w:b w:val="0"/>
                <w:sz w:val="16"/>
              </w:rPr>
              <w:t>0.913</w:t>
            </w:r>
          </w:p>
        </w:tc>
        <w:tc>
          <w:tcPr>
            <w:tcW w:w="883" w:type="dxa"/>
          </w:tcPr>
          <w:p w14:paraId="401D778A">
            <w:pPr>
              <w:jc w:val="center"/>
            </w:pPr>
            <w:r>
              <w:rPr>
                <w:rFonts w:ascii="Times New Roman" w:hAnsi="Times New Roman" w:eastAsia="Times New Roman"/>
                <w:b w:val="0"/>
                <w:sz w:val="16"/>
              </w:rPr>
              <w:t>6.42</w:t>
            </w:r>
          </w:p>
        </w:tc>
        <w:tc>
          <w:tcPr>
            <w:tcW w:w="883" w:type="dxa"/>
          </w:tcPr>
          <w:p w14:paraId="327D3E89">
            <w:pPr>
              <w:jc w:val="center"/>
            </w:pPr>
            <w:r>
              <w:rPr>
                <w:rFonts w:ascii="Times New Roman" w:hAnsi="Times New Roman" w:eastAsia="Times New Roman"/>
                <w:b w:val="0"/>
                <w:sz w:val="16"/>
              </w:rPr>
              <w:t>24.29</w:t>
            </w:r>
          </w:p>
        </w:tc>
        <w:tc>
          <w:tcPr>
            <w:tcW w:w="883" w:type="dxa"/>
          </w:tcPr>
          <w:p w14:paraId="29490257">
            <w:pPr>
              <w:jc w:val="center"/>
            </w:pPr>
            <w:r>
              <w:rPr>
                <w:rFonts w:ascii="Times New Roman" w:hAnsi="Times New Roman" w:eastAsia="Times New Roman"/>
                <w:b w:val="0"/>
                <w:sz w:val="16"/>
              </w:rPr>
              <w:t>0.930</w:t>
            </w:r>
          </w:p>
        </w:tc>
      </w:tr>
      <w:tr w14:paraId="4CB1A7B5">
        <w:trPr>
          <w:jc w:val="center"/>
        </w:trPr>
        <w:tc>
          <w:tcPr>
            <w:tcW w:w="883" w:type="dxa"/>
            <w:vMerge w:val="continue"/>
          </w:tcPr>
          <w:p w14:paraId="312BB698"/>
        </w:tc>
        <w:tc>
          <w:tcPr>
            <w:tcW w:w="883" w:type="dxa"/>
          </w:tcPr>
          <w:p w14:paraId="036DE313">
            <w:pPr>
              <w:jc w:val="left"/>
            </w:pPr>
            <w:r>
              <w:rPr>
                <w:rFonts w:ascii="Times New Roman" w:hAnsi="Times New Roman" w:eastAsia="Times New Roman"/>
                <w:b w:val="0"/>
                <w:sz w:val="16"/>
              </w:rPr>
              <w:t>CoR-GS</w:t>
            </w:r>
          </w:p>
        </w:tc>
        <w:tc>
          <w:tcPr>
            <w:tcW w:w="883" w:type="dxa"/>
          </w:tcPr>
          <w:p w14:paraId="7F88FF72">
            <w:pPr>
              <w:jc w:val="center"/>
            </w:pPr>
            <w:r>
              <w:rPr>
                <w:rFonts w:ascii="Times New Roman" w:hAnsi="Times New Roman" w:eastAsia="Times New Roman"/>
                <w:b w:val="0"/>
                <w:sz w:val="16"/>
              </w:rPr>
              <w:t>11.76</w:t>
            </w:r>
          </w:p>
        </w:tc>
        <w:tc>
          <w:tcPr>
            <w:tcW w:w="883" w:type="dxa"/>
          </w:tcPr>
          <w:p w14:paraId="643D1F9C">
            <w:pPr>
              <w:jc w:val="center"/>
            </w:pPr>
            <w:r>
              <w:rPr>
                <w:rFonts w:ascii="Times New Roman" w:hAnsi="Times New Roman" w:eastAsia="Times New Roman"/>
                <w:b w:val="0"/>
                <w:sz w:val="16"/>
              </w:rPr>
              <w:t>20.45</w:t>
            </w:r>
          </w:p>
        </w:tc>
        <w:tc>
          <w:tcPr>
            <w:tcW w:w="883" w:type="dxa"/>
          </w:tcPr>
          <w:p w14:paraId="7390B8CC">
            <w:pPr>
              <w:jc w:val="center"/>
            </w:pPr>
            <w:r>
              <w:rPr>
                <w:rFonts w:ascii="Times New Roman" w:hAnsi="Times New Roman" w:eastAsia="Times New Roman"/>
                <w:b w:val="0"/>
                <w:sz w:val="16"/>
              </w:rPr>
              <w:t>0.856</w:t>
            </w:r>
          </w:p>
        </w:tc>
        <w:tc>
          <w:tcPr>
            <w:tcW w:w="883" w:type="dxa"/>
          </w:tcPr>
          <w:p w14:paraId="2FA14A7F">
            <w:pPr>
              <w:jc w:val="center"/>
            </w:pPr>
            <w:r>
              <w:rPr>
                <w:rFonts w:ascii="Times New Roman" w:hAnsi="Times New Roman" w:eastAsia="Times New Roman"/>
                <w:b w:val="0"/>
                <w:sz w:val="16"/>
              </w:rPr>
              <w:t>9.28</w:t>
            </w:r>
          </w:p>
        </w:tc>
        <w:tc>
          <w:tcPr>
            <w:tcW w:w="883" w:type="dxa"/>
          </w:tcPr>
          <w:p w14:paraId="1868DAC8">
            <w:pPr>
              <w:jc w:val="center"/>
            </w:pPr>
            <w:r>
              <w:rPr>
                <w:rFonts w:ascii="Times New Roman" w:hAnsi="Times New Roman" w:eastAsia="Times New Roman"/>
                <w:b w:val="0"/>
                <w:sz w:val="16"/>
              </w:rPr>
              <w:t>22.57</w:t>
            </w:r>
          </w:p>
        </w:tc>
        <w:tc>
          <w:tcPr>
            <w:tcW w:w="883" w:type="dxa"/>
          </w:tcPr>
          <w:p w14:paraId="5EA15958">
            <w:pPr>
              <w:jc w:val="center"/>
            </w:pPr>
            <w:r>
              <w:rPr>
                <w:rFonts w:ascii="Times New Roman" w:hAnsi="Times New Roman" w:eastAsia="Times New Roman"/>
                <w:b w:val="0"/>
                <w:sz w:val="16"/>
              </w:rPr>
              <w:t>0.901</w:t>
            </w:r>
          </w:p>
        </w:tc>
        <w:tc>
          <w:tcPr>
            <w:tcW w:w="883" w:type="dxa"/>
          </w:tcPr>
          <w:p w14:paraId="6CA39397">
            <w:pPr>
              <w:jc w:val="center"/>
            </w:pPr>
            <w:r>
              <w:rPr>
                <w:rFonts w:ascii="Times New Roman" w:hAnsi="Times New Roman" w:eastAsia="Times New Roman"/>
                <w:b w:val="0"/>
                <w:sz w:val="16"/>
              </w:rPr>
              <w:t>7.04</w:t>
            </w:r>
          </w:p>
        </w:tc>
        <w:tc>
          <w:tcPr>
            <w:tcW w:w="883" w:type="dxa"/>
          </w:tcPr>
          <w:p w14:paraId="3DD0B539">
            <w:pPr>
              <w:jc w:val="center"/>
            </w:pPr>
            <w:r>
              <w:rPr>
                <w:rFonts w:ascii="Times New Roman" w:hAnsi="Times New Roman" w:eastAsia="Times New Roman"/>
                <w:b w:val="0"/>
                <w:sz w:val="16"/>
              </w:rPr>
              <w:t>24.73</w:t>
            </w:r>
          </w:p>
        </w:tc>
        <w:tc>
          <w:tcPr>
            <w:tcW w:w="883" w:type="dxa"/>
          </w:tcPr>
          <w:p w14:paraId="0C2C5D2A">
            <w:pPr>
              <w:jc w:val="center"/>
            </w:pPr>
            <w:r>
              <w:rPr>
                <w:rFonts w:ascii="Times New Roman" w:hAnsi="Times New Roman" w:eastAsia="Times New Roman"/>
                <w:b w:val="0"/>
                <w:sz w:val="16"/>
              </w:rPr>
              <w:t>0.926</w:t>
            </w:r>
          </w:p>
        </w:tc>
      </w:tr>
      <w:tr w14:paraId="40C92F3B">
        <w:trPr>
          <w:jc w:val="center"/>
        </w:trPr>
        <w:tc>
          <w:tcPr>
            <w:tcW w:w="883" w:type="dxa"/>
            <w:vMerge w:val="continue"/>
          </w:tcPr>
          <w:p w14:paraId="3E88BBEA"/>
        </w:tc>
        <w:tc>
          <w:tcPr>
            <w:tcW w:w="883" w:type="dxa"/>
          </w:tcPr>
          <w:p w14:paraId="5AEF033B">
            <w:pPr>
              <w:jc w:val="left"/>
            </w:pPr>
            <w:r>
              <w:rPr>
                <w:rFonts w:ascii="Times New Roman" w:hAnsi="Times New Roman" w:eastAsia="Times New Roman"/>
                <w:b w:val="0"/>
                <w:sz w:val="16"/>
              </w:rPr>
              <w:t>DropGaussian</w:t>
            </w:r>
          </w:p>
        </w:tc>
        <w:tc>
          <w:tcPr>
            <w:tcW w:w="883" w:type="dxa"/>
          </w:tcPr>
          <w:p w14:paraId="7B24D4E2">
            <w:pPr>
              <w:jc w:val="center"/>
            </w:pPr>
            <w:r>
              <w:rPr>
                <w:rFonts w:ascii="Times New Roman" w:hAnsi="Times New Roman" w:eastAsia="Times New Roman"/>
                <w:b w:val="0"/>
                <w:sz w:val="16"/>
              </w:rPr>
              <w:t>11.57</w:t>
            </w:r>
          </w:p>
        </w:tc>
        <w:tc>
          <w:tcPr>
            <w:tcW w:w="883" w:type="dxa"/>
          </w:tcPr>
          <w:p w14:paraId="4FA20475">
            <w:pPr>
              <w:jc w:val="center"/>
            </w:pPr>
            <w:r>
              <w:rPr>
                <w:rFonts w:ascii="Times New Roman" w:hAnsi="Times New Roman" w:eastAsia="Times New Roman"/>
                <w:b w:val="0"/>
                <w:sz w:val="16"/>
              </w:rPr>
              <w:t>21.76</w:t>
            </w:r>
          </w:p>
        </w:tc>
        <w:tc>
          <w:tcPr>
            <w:tcW w:w="883" w:type="dxa"/>
          </w:tcPr>
          <w:p w14:paraId="563222D6">
            <w:pPr>
              <w:jc w:val="center"/>
            </w:pPr>
            <w:r>
              <w:rPr>
                <w:rFonts w:ascii="Times New Roman" w:hAnsi="Times New Roman" w:eastAsia="Times New Roman"/>
                <w:b w:val="0"/>
                <w:sz w:val="16"/>
              </w:rPr>
              <w:t>0.837</w:t>
            </w:r>
          </w:p>
        </w:tc>
        <w:tc>
          <w:tcPr>
            <w:tcW w:w="883" w:type="dxa"/>
          </w:tcPr>
          <w:p w14:paraId="4EFC6680">
            <w:pPr>
              <w:jc w:val="center"/>
            </w:pPr>
            <w:r>
              <w:rPr>
                <w:rFonts w:ascii="Times New Roman" w:hAnsi="Times New Roman" w:eastAsia="Times New Roman"/>
                <w:b w:val="0"/>
                <w:sz w:val="16"/>
              </w:rPr>
              <w:t>8.61</w:t>
            </w:r>
          </w:p>
        </w:tc>
        <w:tc>
          <w:tcPr>
            <w:tcW w:w="883" w:type="dxa"/>
          </w:tcPr>
          <w:p w14:paraId="39B1CFEE">
            <w:pPr>
              <w:jc w:val="center"/>
            </w:pPr>
            <w:r>
              <w:rPr>
                <w:rFonts w:ascii="Times New Roman" w:hAnsi="Times New Roman" w:eastAsia="Times New Roman"/>
                <w:b w:val="0"/>
                <w:sz w:val="16"/>
              </w:rPr>
              <w:t>22.98</w:t>
            </w:r>
          </w:p>
        </w:tc>
        <w:tc>
          <w:tcPr>
            <w:tcW w:w="883" w:type="dxa"/>
          </w:tcPr>
          <w:p w14:paraId="09E24C71">
            <w:pPr>
              <w:jc w:val="center"/>
            </w:pPr>
            <w:r>
              <w:rPr>
                <w:rFonts w:ascii="Times New Roman" w:hAnsi="Times New Roman" w:eastAsia="Times New Roman"/>
                <w:b w:val="0"/>
                <w:sz w:val="16"/>
              </w:rPr>
              <w:t>0.895</w:t>
            </w:r>
          </w:p>
        </w:tc>
        <w:tc>
          <w:tcPr>
            <w:tcW w:w="883" w:type="dxa"/>
          </w:tcPr>
          <w:p w14:paraId="0FE6A672">
            <w:pPr>
              <w:jc w:val="center"/>
            </w:pPr>
            <w:r>
              <w:rPr>
                <w:rFonts w:ascii="Times New Roman" w:hAnsi="Times New Roman" w:eastAsia="Times New Roman"/>
                <w:b w:val="0"/>
                <w:sz w:val="16"/>
              </w:rPr>
              <w:t>8.02</w:t>
            </w:r>
          </w:p>
        </w:tc>
        <w:tc>
          <w:tcPr>
            <w:tcW w:w="883" w:type="dxa"/>
          </w:tcPr>
          <w:p w14:paraId="696B8771">
            <w:pPr>
              <w:jc w:val="center"/>
            </w:pPr>
            <w:r>
              <w:rPr>
                <w:rFonts w:ascii="Times New Roman" w:hAnsi="Times New Roman" w:eastAsia="Times New Roman"/>
                <w:b w:val="0"/>
                <w:sz w:val="16"/>
              </w:rPr>
              <w:t>24.10</w:t>
            </w:r>
          </w:p>
        </w:tc>
        <w:tc>
          <w:tcPr>
            <w:tcW w:w="883" w:type="dxa"/>
          </w:tcPr>
          <w:p w14:paraId="3253E07D">
            <w:pPr>
              <w:jc w:val="center"/>
            </w:pPr>
            <w:r>
              <w:rPr>
                <w:rFonts w:ascii="Times New Roman" w:hAnsi="Times New Roman" w:eastAsia="Times New Roman"/>
                <w:b w:val="0"/>
                <w:sz w:val="16"/>
              </w:rPr>
              <w:t>0.915</w:t>
            </w:r>
          </w:p>
        </w:tc>
      </w:tr>
      <w:tr w14:paraId="3DD7668F">
        <w:trPr>
          <w:jc w:val="center"/>
        </w:trPr>
        <w:tc>
          <w:tcPr>
            <w:tcW w:w="883" w:type="dxa"/>
            <w:vMerge w:val="continue"/>
          </w:tcPr>
          <w:p w14:paraId="0D1D1C16"/>
        </w:tc>
        <w:tc>
          <w:tcPr>
            <w:tcW w:w="883" w:type="dxa"/>
          </w:tcPr>
          <w:p w14:paraId="360438B2">
            <w:pPr>
              <w:jc w:val="left"/>
            </w:pPr>
            <w:r>
              <w:rPr>
                <w:rFonts w:ascii="Times New Roman" w:hAnsi="Times New Roman" w:eastAsia="Times New Roman"/>
                <w:b w:val="0"/>
                <w:sz w:val="16"/>
              </w:rPr>
              <w:t>D²GS</w:t>
            </w:r>
          </w:p>
        </w:tc>
        <w:tc>
          <w:tcPr>
            <w:tcW w:w="883" w:type="dxa"/>
          </w:tcPr>
          <w:p w14:paraId="3D8CDA20">
            <w:pPr>
              <w:jc w:val="center"/>
            </w:pPr>
            <w:r>
              <w:rPr>
                <w:rFonts w:ascii="Times New Roman" w:hAnsi="Times New Roman" w:eastAsia="Times New Roman"/>
                <w:b w:val="0"/>
                <w:sz w:val="16"/>
              </w:rPr>
              <w:t>2.58</w:t>
            </w:r>
          </w:p>
        </w:tc>
        <w:tc>
          <w:tcPr>
            <w:tcW w:w="883" w:type="dxa"/>
          </w:tcPr>
          <w:p w14:paraId="426E541D">
            <w:pPr>
              <w:jc w:val="center"/>
            </w:pPr>
            <w:r>
              <w:rPr>
                <w:rFonts w:ascii="Times New Roman" w:hAnsi="Times New Roman" w:eastAsia="Times New Roman"/>
                <w:b w:val="0"/>
                <w:sz w:val="16"/>
              </w:rPr>
              <w:t>22.35</w:t>
            </w:r>
          </w:p>
        </w:tc>
        <w:tc>
          <w:tcPr>
            <w:tcW w:w="883" w:type="dxa"/>
          </w:tcPr>
          <w:p w14:paraId="46D22573">
            <w:pPr>
              <w:jc w:val="center"/>
            </w:pPr>
            <w:r>
              <w:rPr>
                <w:rFonts w:ascii="Times New Roman" w:hAnsi="Times New Roman" w:eastAsia="Times New Roman"/>
                <w:b w:val="0"/>
                <w:sz w:val="16"/>
              </w:rPr>
              <w:t>0.923</w:t>
            </w:r>
          </w:p>
        </w:tc>
        <w:tc>
          <w:tcPr>
            <w:tcW w:w="883" w:type="dxa"/>
          </w:tcPr>
          <w:p w14:paraId="6D418331">
            <w:pPr>
              <w:jc w:val="center"/>
            </w:pPr>
            <w:r>
              <w:rPr>
                <w:rFonts w:ascii="Times New Roman" w:hAnsi="Times New Roman" w:eastAsia="Times New Roman"/>
                <w:b w:val="0"/>
                <w:sz w:val="16"/>
              </w:rPr>
              <w:t>2.34</w:t>
            </w:r>
          </w:p>
        </w:tc>
        <w:tc>
          <w:tcPr>
            <w:tcW w:w="883" w:type="dxa"/>
          </w:tcPr>
          <w:p w14:paraId="04C4E85B">
            <w:pPr>
              <w:jc w:val="center"/>
            </w:pPr>
            <w:r>
              <w:rPr>
                <w:rFonts w:ascii="Times New Roman" w:hAnsi="Times New Roman" w:eastAsia="Times New Roman"/>
                <w:b w:val="0"/>
                <w:sz w:val="16"/>
              </w:rPr>
              <w:t>24.74</w:t>
            </w:r>
          </w:p>
        </w:tc>
        <w:tc>
          <w:tcPr>
            <w:tcW w:w="883" w:type="dxa"/>
          </w:tcPr>
          <w:p w14:paraId="2D6C8FBD">
            <w:pPr>
              <w:jc w:val="center"/>
            </w:pPr>
            <w:r>
              <w:rPr>
                <w:rFonts w:ascii="Times New Roman" w:hAnsi="Times New Roman" w:eastAsia="Times New Roman"/>
                <w:b w:val="0"/>
                <w:sz w:val="16"/>
              </w:rPr>
              <w:t>0.937</w:t>
            </w:r>
          </w:p>
        </w:tc>
        <w:tc>
          <w:tcPr>
            <w:tcW w:w="883" w:type="dxa"/>
          </w:tcPr>
          <w:p w14:paraId="03281591">
            <w:pPr>
              <w:jc w:val="center"/>
            </w:pPr>
            <w:r>
              <w:rPr>
                <w:rFonts w:ascii="Times New Roman" w:hAnsi="Times New Roman" w:eastAsia="Times New Roman"/>
                <w:b w:val="0"/>
                <w:sz w:val="16"/>
              </w:rPr>
              <w:t>2.11</w:t>
            </w:r>
          </w:p>
        </w:tc>
        <w:tc>
          <w:tcPr>
            <w:tcW w:w="883" w:type="dxa"/>
          </w:tcPr>
          <w:p w14:paraId="23F80D1A">
            <w:pPr>
              <w:jc w:val="center"/>
            </w:pPr>
            <w:r>
              <w:rPr>
                <w:rFonts w:ascii="Times New Roman" w:hAnsi="Times New Roman" w:eastAsia="Times New Roman"/>
                <w:b w:val="0"/>
                <w:sz w:val="16"/>
              </w:rPr>
              <w:t>27.13</w:t>
            </w:r>
          </w:p>
        </w:tc>
        <w:tc>
          <w:tcPr>
            <w:tcW w:w="883" w:type="dxa"/>
          </w:tcPr>
          <w:p w14:paraId="5D67254F">
            <w:pPr>
              <w:jc w:val="center"/>
            </w:pPr>
            <w:r>
              <w:rPr>
                <w:rFonts w:ascii="Times New Roman" w:hAnsi="Times New Roman" w:eastAsia="Times New Roman"/>
                <w:b w:val="0"/>
                <w:sz w:val="16"/>
              </w:rPr>
              <w:t>0.941</w:t>
            </w:r>
          </w:p>
        </w:tc>
      </w:tr>
      <w:tr w14:paraId="3A1B095D">
        <w:trPr>
          <w:jc w:val="center"/>
        </w:trPr>
        <w:tc>
          <w:tcPr>
            <w:tcW w:w="883" w:type="dxa"/>
            <w:vMerge w:val="continue"/>
          </w:tcPr>
          <w:p w14:paraId="3C81E39C"/>
        </w:tc>
        <w:tc>
          <w:tcPr>
            <w:tcW w:w="883" w:type="dxa"/>
          </w:tcPr>
          <w:p w14:paraId="1BA2BEA8">
            <w:pPr>
              <w:jc w:val="left"/>
            </w:pPr>
            <w:r>
              <w:rPr>
                <w:rFonts w:ascii="Times New Roman" w:hAnsi="Times New Roman" w:eastAsia="Times New Roman"/>
                <w:b/>
                <w:sz w:val="16"/>
              </w:rPr>
              <w:t>SynGS (Ours)</w:t>
            </w:r>
          </w:p>
        </w:tc>
        <w:tc>
          <w:tcPr>
            <w:tcW w:w="883" w:type="dxa"/>
          </w:tcPr>
          <w:p w14:paraId="7A0B0FDA">
            <w:pPr>
              <w:jc w:val="center"/>
            </w:pPr>
            <w:r>
              <w:rPr>
                <w:rFonts w:ascii="Times New Roman" w:hAnsi="Times New Roman" w:eastAsia="Times New Roman"/>
                <w:b w:val="0"/>
                <w:sz w:val="16"/>
              </w:rPr>
              <w:t>3.89</w:t>
            </w:r>
          </w:p>
        </w:tc>
        <w:tc>
          <w:tcPr>
            <w:tcW w:w="883" w:type="dxa"/>
          </w:tcPr>
          <w:p w14:paraId="27248FB7">
            <w:pPr>
              <w:jc w:val="center"/>
            </w:pPr>
            <w:r>
              <w:rPr>
                <w:rFonts w:ascii="Times New Roman" w:hAnsi="Times New Roman" w:eastAsia="Times New Roman"/>
                <w:b w:val="0"/>
                <w:sz w:val="16"/>
              </w:rPr>
              <w:t>25.91</w:t>
            </w:r>
          </w:p>
        </w:tc>
        <w:tc>
          <w:tcPr>
            <w:tcW w:w="883" w:type="dxa"/>
          </w:tcPr>
          <w:p w14:paraId="0AA55EE8">
            <w:pPr>
              <w:jc w:val="center"/>
            </w:pPr>
            <w:r>
              <w:rPr>
                <w:rFonts w:ascii="Times New Roman" w:hAnsi="Times New Roman" w:eastAsia="Times New Roman"/>
                <w:b w:val="0"/>
                <w:sz w:val="16"/>
              </w:rPr>
              <w:t>0.948</w:t>
            </w:r>
          </w:p>
        </w:tc>
        <w:tc>
          <w:tcPr>
            <w:tcW w:w="883" w:type="dxa"/>
          </w:tcPr>
          <w:p w14:paraId="766CC9A6">
            <w:pPr>
              <w:jc w:val="center"/>
            </w:pPr>
            <w:r>
              <w:rPr>
                <w:rFonts w:ascii="Times New Roman" w:hAnsi="Times New Roman" w:eastAsia="Times New Roman"/>
                <w:b w:val="0"/>
                <w:sz w:val="16"/>
              </w:rPr>
              <w:t>3.43</w:t>
            </w:r>
          </w:p>
        </w:tc>
        <w:tc>
          <w:tcPr>
            <w:tcW w:w="883" w:type="dxa"/>
          </w:tcPr>
          <w:p w14:paraId="7E85C6EE">
            <w:pPr>
              <w:jc w:val="center"/>
            </w:pPr>
            <w:r>
              <w:rPr>
                <w:rFonts w:ascii="Times New Roman" w:hAnsi="Times New Roman" w:eastAsia="Times New Roman"/>
                <w:b w:val="0"/>
                <w:sz w:val="16"/>
              </w:rPr>
              <w:t>27.93</w:t>
            </w:r>
          </w:p>
        </w:tc>
        <w:tc>
          <w:tcPr>
            <w:tcW w:w="883" w:type="dxa"/>
          </w:tcPr>
          <w:p w14:paraId="5D80890C">
            <w:pPr>
              <w:jc w:val="center"/>
            </w:pPr>
            <w:r>
              <w:rPr>
                <w:rFonts w:ascii="Times New Roman" w:hAnsi="Times New Roman" w:eastAsia="Times New Roman"/>
                <w:b w:val="0"/>
                <w:sz w:val="16"/>
              </w:rPr>
              <w:t>0.953</w:t>
            </w:r>
          </w:p>
        </w:tc>
        <w:tc>
          <w:tcPr>
            <w:tcW w:w="883" w:type="dxa"/>
          </w:tcPr>
          <w:p w14:paraId="79F26234">
            <w:pPr>
              <w:jc w:val="center"/>
            </w:pPr>
            <w:r>
              <w:rPr>
                <w:rFonts w:ascii="Times New Roman" w:hAnsi="Times New Roman" w:eastAsia="Times New Roman"/>
                <w:b w:val="0"/>
                <w:sz w:val="16"/>
              </w:rPr>
              <w:t>3.02</w:t>
            </w:r>
          </w:p>
        </w:tc>
        <w:tc>
          <w:tcPr>
            <w:tcW w:w="883" w:type="dxa"/>
          </w:tcPr>
          <w:p w14:paraId="101927C6">
            <w:pPr>
              <w:jc w:val="center"/>
            </w:pPr>
            <w:r>
              <w:rPr>
                <w:rFonts w:ascii="Times New Roman" w:hAnsi="Times New Roman" w:eastAsia="Times New Roman"/>
                <w:b w:val="0"/>
                <w:sz w:val="16"/>
              </w:rPr>
              <w:t>29.21</w:t>
            </w:r>
          </w:p>
        </w:tc>
        <w:tc>
          <w:tcPr>
            <w:tcW w:w="883" w:type="dxa"/>
          </w:tcPr>
          <w:p w14:paraId="32005672">
            <w:pPr>
              <w:jc w:val="center"/>
            </w:pPr>
            <w:r>
              <w:rPr>
                <w:rFonts w:ascii="Times New Roman" w:hAnsi="Times New Roman" w:eastAsia="Times New Roman"/>
                <w:b w:val="0"/>
                <w:sz w:val="16"/>
              </w:rPr>
              <w:t>0.961</w:t>
            </w:r>
          </w:p>
        </w:tc>
      </w:tr>
    </w:tbl>
    <w:p w14:paraId="4ED6510B">
      <w:pPr>
        <w:pStyle w:val="45"/>
        <w:jc w:val="both"/>
      </w:pPr>
      <w:r>
        <w:rPr>
          <w:rFonts w:ascii="Times New Roman" w:hAnsi="Times New Roman" w:eastAsia="Times New Roman"/>
          <w:sz w:val="18"/>
        </w:rPr>
        <w:t>Table 2. Performance comparisons of sparse-view synthesis on LLFF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68B3C140">
        <w:trPr>
          <w:jc w:val="center"/>
        </w:trPr>
        <w:tc>
          <w:tcPr>
            <w:tcW w:w="883" w:type="dxa"/>
          </w:tcPr>
          <w:p w14:paraId="0DC8CC47">
            <w:pPr>
              <w:jc w:val="center"/>
            </w:pPr>
          </w:p>
        </w:tc>
        <w:tc>
          <w:tcPr>
            <w:tcW w:w="883" w:type="dxa"/>
          </w:tcPr>
          <w:p w14:paraId="5934A667">
            <w:pPr>
              <w:jc w:val="center"/>
            </w:pPr>
            <w:r>
              <w:rPr>
                <w:rFonts w:ascii="Times New Roman" w:hAnsi="Times New Roman" w:eastAsia="Times New Roman"/>
                <w:b/>
                <w:sz w:val="16"/>
              </w:rPr>
              <w:t>Methods</w:t>
            </w:r>
          </w:p>
        </w:tc>
        <w:tc>
          <w:tcPr>
            <w:tcW w:w="2649" w:type="dxa"/>
            <w:gridSpan w:val="3"/>
          </w:tcPr>
          <w:p w14:paraId="3008C80D">
            <w:pPr>
              <w:jc w:val="center"/>
            </w:pPr>
            <w:r>
              <w:rPr>
                <w:rFonts w:ascii="Times New Roman" w:hAnsi="Times New Roman" w:eastAsia="Times New Roman"/>
                <w:b/>
                <w:sz w:val="16"/>
              </w:rPr>
              <w:t>LLFF (4-view)</w:t>
            </w:r>
          </w:p>
        </w:tc>
        <w:tc>
          <w:tcPr>
            <w:tcW w:w="2649" w:type="dxa"/>
            <w:gridSpan w:val="3"/>
          </w:tcPr>
          <w:p w14:paraId="4E9483DA">
            <w:pPr>
              <w:jc w:val="center"/>
            </w:pPr>
            <w:r>
              <w:rPr>
                <w:rFonts w:ascii="Times New Roman" w:hAnsi="Times New Roman" w:eastAsia="Times New Roman"/>
                <w:b/>
                <w:sz w:val="16"/>
              </w:rPr>
              <w:t>LLFF (6-view)</w:t>
            </w:r>
          </w:p>
        </w:tc>
        <w:tc>
          <w:tcPr>
            <w:tcW w:w="2649" w:type="dxa"/>
            <w:gridSpan w:val="3"/>
          </w:tcPr>
          <w:p w14:paraId="4AF1B98C">
            <w:pPr>
              <w:jc w:val="center"/>
            </w:pPr>
            <w:r>
              <w:rPr>
                <w:rFonts w:ascii="Times New Roman" w:hAnsi="Times New Roman" w:eastAsia="Times New Roman"/>
                <w:b/>
                <w:sz w:val="16"/>
              </w:rPr>
              <w:t>LLFF (9-view)</w:t>
            </w:r>
          </w:p>
        </w:tc>
      </w:tr>
      <w:tr w14:paraId="0C50E46B">
        <w:trPr>
          <w:jc w:val="center"/>
        </w:trPr>
        <w:tc>
          <w:tcPr>
            <w:tcW w:w="883" w:type="dxa"/>
          </w:tcPr>
          <w:p w14:paraId="75B00B2E">
            <w:pPr>
              <w:jc w:val="center"/>
            </w:pPr>
          </w:p>
        </w:tc>
        <w:tc>
          <w:tcPr>
            <w:tcW w:w="883" w:type="dxa"/>
          </w:tcPr>
          <w:p w14:paraId="58FFEC59">
            <w:pPr>
              <w:jc w:val="center"/>
            </w:pPr>
          </w:p>
        </w:tc>
        <w:tc>
          <w:tcPr>
            <w:tcW w:w="883" w:type="dxa"/>
          </w:tcPr>
          <w:p w14:paraId="652709FA">
            <w:pPr>
              <w:jc w:val="center"/>
            </w:pPr>
            <w:r>
              <w:rPr>
                <w:rFonts w:ascii="Times New Roman" w:hAnsi="Times New Roman" w:eastAsia="Times New Roman"/>
                <w:b/>
                <w:sz w:val="14"/>
              </w:rPr>
              <w:t>LPIPS*↓</w:t>
            </w:r>
          </w:p>
        </w:tc>
        <w:tc>
          <w:tcPr>
            <w:tcW w:w="883" w:type="dxa"/>
          </w:tcPr>
          <w:p w14:paraId="03F94994">
            <w:pPr>
              <w:jc w:val="center"/>
            </w:pPr>
            <w:r>
              <w:rPr>
                <w:rFonts w:ascii="Times New Roman" w:hAnsi="Times New Roman" w:eastAsia="Times New Roman"/>
                <w:b/>
                <w:sz w:val="14"/>
              </w:rPr>
              <w:t>PSNR↑</w:t>
            </w:r>
          </w:p>
        </w:tc>
        <w:tc>
          <w:tcPr>
            <w:tcW w:w="883" w:type="dxa"/>
          </w:tcPr>
          <w:p w14:paraId="28E080CD">
            <w:pPr>
              <w:jc w:val="center"/>
            </w:pPr>
            <w:r>
              <w:rPr>
                <w:rFonts w:ascii="Times New Roman" w:hAnsi="Times New Roman" w:eastAsia="Times New Roman"/>
                <w:b/>
                <w:sz w:val="14"/>
              </w:rPr>
              <w:t>SSIM↑</w:t>
            </w:r>
          </w:p>
        </w:tc>
        <w:tc>
          <w:tcPr>
            <w:tcW w:w="883" w:type="dxa"/>
          </w:tcPr>
          <w:p w14:paraId="4ED4D4E2">
            <w:pPr>
              <w:jc w:val="center"/>
            </w:pPr>
            <w:r>
              <w:rPr>
                <w:rFonts w:ascii="Times New Roman" w:hAnsi="Times New Roman" w:eastAsia="Times New Roman"/>
                <w:b/>
                <w:sz w:val="14"/>
              </w:rPr>
              <w:t>LPIPS*↓</w:t>
            </w:r>
          </w:p>
        </w:tc>
        <w:tc>
          <w:tcPr>
            <w:tcW w:w="883" w:type="dxa"/>
          </w:tcPr>
          <w:p w14:paraId="413CCDF4">
            <w:pPr>
              <w:jc w:val="center"/>
            </w:pPr>
            <w:r>
              <w:rPr>
                <w:rFonts w:ascii="Times New Roman" w:hAnsi="Times New Roman" w:eastAsia="Times New Roman"/>
                <w:b/>
                <w:sz w:val="14"/>
              </w:rPr>
              <w:t>PSNR↑</w:t>
            </w:r>
          </w:p>
        </w:tc>
        <w:tc>
          <w:tcPr>
            <w:tcW w:w="883" w:type="dxa"/>
          </w:tcPr>
          <w:p w14:paraId="6C9EC113">
            <w:pPr>
              <w:jc w:val="center"/>
            </w:pPr>
            <w:r>
              <w:rPr>
                <w:rFonts w:ascii="Times New Roman" w:hAnsi="Times New Roman" w:eastAsia="Times New Roman"/>
                <w:b/>
                <w:sz w:val="14"/>
              </w:rPr>
              <w:t>SSIM↑</w:t>
            </w:r>
          </w:p>
        </w:tc>
        <w:tc>
          <w:tcPr>
            <w:tcW w:w="883" w:type="dxa"/>
          </w:tcPr>
          <w:p w14:paraId="06EAC6D6">
            <w:pPr>
              <w:jc w:val="center"/>
            </w:pPr>
            <w:r>
              <w:rPr>
                <w:rFonts w:ascii="Times New Roman" w:hAnsi="Times New Roman" w:eastAsia="Times New Roman"/>
                <w:b/>
                <w:sz w:val="14"/>
              </w:rPr>
              <w:t>LPIPS*↓</w:t>
            </w:r>
          </w:p>
        </w:tc>
        <w:tc>
          <w:tcPr>
            <w:tcW w:w="883" w:type="dxa"/>
          </w:tcPr>
          <w:p w14:paraId="0464B241">
            <w:pPr>
              <w:jc w:val="center"/>
            </w:pPr>
            <w:r>
              <w:rPr>
                <w:rFonts w:ascii="Times New Roman" w:hAnsi="Times New Roman" w:eastAsia="Times New Roman"/>
                <w:b/>
                <w:sz w:val="14"/>
              </w:rPr>
              <w:t>PSNR↑</w:t>
            </w:r>
          </w:p>
        </w:tc>
        <w:tc>
          <w:tcPr>
            <w:tcW w:w="883" w:type="dxa"/>
          </w:tcPr>
          <w:p w14:paraId="1CF0A8FB">
            <w:pPr>
              <w:jc w:val="center"/>
            </w:pPr>
            <w:r>
              <w:rPr>
                <w:rFonts w:ascii="Times New Roman" w:hAnsi="Times New Roman" w:eastAsia="Times New Roman"/>
                <w:b/>
                <w:sz w:val="14"/>
              </w:rPr>
              <w:t>SSIM↑</w:t>
            </w:r>
          </w:p>
        </w:tc>
      </w:tr>
      <w:tr w14:paraId="4A5935CA">
        <w:trPr>
          <w:jc w:val="center"/>
        </w:trPr>
        <w:tc>
          <w:tcPr>
            <w:tcW w:w="883" w:type="dxa"/>
            <w:vMerge w:val="restart"/>
          </w:tcPr>
          <w:p w14:paraId="06B25B82">
            <w:pPr>
              <w:jc w:val="center"/>
            </w:pPr>
            <w:r>
              <w:rPr>
                <w:rFonts w:ascii="Times New Roman" w:hAnsi="Times New Roman" w:eastAsia="Times New Roman"/>
                <w:b/>
                <w:sz w:val="14"/>
              </w:rPr>
              <w:t>NeRF-based</w:t>
            </w:r>
          </w:p>
        </w:tc>
        <w:tc>
          <w:tcPr>
            <w:tcW w:w="883" w:type="dxa"/>
          </w:tcPr>
          <w:p w14:paraId="5A82BAB1">
            <w:pPr>
              <w:jc w:val="left"/>
            </w:pPr>
            <w:r>
              <w:rPr>
                <w:rFonts w:ascii="Times New Roman" w:hAnsi="Times New Roman" w:eastAsia="Times New Roman"/>
                <w:b w:val="0"/>
                <w:sz w:val="16"/>
              </w:rPr>
              <w:t>RegNeRF</w:t>
            </w:r>
          </w:p>
        </w:tc>
        <w:tc>
          <w:tcPr>
            <w:tcW w:w="883" w:type="dxa"/>
          </w:tcPr>
          <w:p w14:paraId="47B0E9A8">
            <w:pPr>
              <w:jc w:val="center"/>
            </w:pPr>
            <w:r>
              <w:rPr>
                <w:rFonts w:ascii="Times New Roman" w:hAnsi="Times New Roman" w:eastAsia="Times New Roman"/>
                <w:b w:val="0"/>
                <w:sz w:val="16"/>
              </w:rPr>
              <w:t>29.65</w:t>
            </w:r>
          </w:p>
        </w:tc>
        <w:tc>
          <w:tcPr>
            <w:tcW w:w="883" w:type="dxa"/>
          </w:tcPr>
          <w:p w14:paraId="5AFAAF8F">
            <w:pPr>
              <w:jc w:val="center"/>
            </w:pPr>
            <w:r>
              <w:rPr>
                <w:rFonts w:ascii="Times New Roman" w:hAnsi="Times New Roman" w:eastAsia="Times New Roman"/>
                <w:b w:val="0"/>
                <w:sz w:val="16"/>
              </w:rPr>
              <w:t>18.55</w:t>
            </w:r>
          </w:p>
        </w:tc>
        <w:tc>
          <w:tcPr>
            <w:tcW w:w="883" w:type="dxa"/>
          </w:tcPr>
          <w:p w14:paraId="074848D4">
            <w:pPr>
              <w:jc w:val="center"/>
            </w:pPr>
            <w:r>
              <w:rPr>
                <w:rFonts w:ascii="Times New Roman" w:hAnsi="Times New Roman" w:eastAsia="Times New Roman"/>
                <w:b w:val="0"/>
                <w:sz w:val="16"/>
              </w:rPr>
              <w:t>0.587</w:t>
            </w:r>
          </w:p>
        </w:tc>
        <w:tc>
          <w:tcPr>
            <w:tcW w:w="883" w:type="dxa"/>
          </w:tcPr>
          <w:p w14:paraId="25652BC5">
            <w:pPr>
              <w:jc w:val="center"/>
            </w:pPr>
            <w:r>
              <w:rPr>
                <w:rFonts w:ascii="Times New Roman" w:hAnsi="Times New Roman" w:eastAsia="Times New Roman"/>
                <w:b w:val="0"/>
                <w:sz w:val="16"/>
              </w:rPr>
              <w:t>22.61</w:t>
            </w:r>
          </w:p>
        </w:tc>
        <w:tc>
          <w:tcPr>
            <w:tcW w:w="883" w:type="dxa"/>
          </w:tcPr>
          <w:p w14:paraId="514BB837">
            <w:pPr>
              <w:jc w:val="center"/>
            </w:pPr>
            <w:r>
              <w:rPr>
                <w:rFonts w:ascii="Times New Roman" w:hAnsi="Times New Roman" w:eastAsia="Times New Roman"/>
                <w:b w:val="0"/>
                <w:sz w:val="16"/>
              </w:rPr>
              <w:t>19.08</w:t>
            </w:r>
          </w:p>
        </w:tc>
        <w:tc>
          <w:tcPr>
            <w:tcW w:w="883" w:type="dxa"/>
          </w:tcPr>
          <w:p w14:paraId="54A08FDA">
            <w:pPr>
              <w:jc w:val="center"/>
            </w:pPr>
            <w:r>
              <w:rPr>
                <w:rFonts w:ascii="Times New Roman" w:hAnsi="Times New Roman" w:eastAsia="Times New Roman"/>
                <w:b w:val="0"/>
                <w:sz w:val="16"/>
              </w:rPr>
              <w:t>0.760</w:t>
            </w:r>
          </w:p>
        </w:tc>
        <w:tc>
          <w:tcPr>
            <w:tcW w:w="883" w:type="dxa"/>
          </w:tcPr>
          <w:p w14:paraId="5DD4719A">
            <w:pPr>
              <w:jc w:val="center"/>
            </w:pPr>
            <w:r>
              <w:rPr>
                <w:rFonts w:ascii="Times New Roman" w:hAnsi="Times New Roman" w:eastAsia="Times New Roman"/>
                <w:b w:val="0"/>
                <w:sz w:val="16"/>
              </w:rPr>
              <w:t>18.39</w:t>
            </w:r>
          </w:p>
        </w:tc>
        <w:tc>
          <w:tcPr>
            <w:tcW w:w="883" w:type="dxa"/>
          </w:tcPr>
          <w:p w14:paraId="45EB6D35">
            <w:pPr>
              <w:jc w:val="center"/>
            </w:pPr>
            <w:r>
              <w:rPr>
                <w:rFonts w:ascii="Times New Roman" w:hAnsi="Times New Roman" w:eastAsia="Times New Roman"/>
                <w:b w:val="0"/>
                <w:sz w:val="16"/>
              </w:rPr>
              <w:t>22.86</w:t>
            </w:r>
          </w:p>
        </w:tc>
        <w:tc>
          <w:tcPr>
            <w:tcW w:w="883" w:type="dxa"/>
          </w:tcPr>
          <w:p w14:paraId="3189A2B4">
            <w:pPr>
              <w:jc w:val="center"/>
            </w:pPr>
            <w:r>
              <w:rPr>
                <w:rFonts w:ascii="Times New Roman" w:hAnsi="Times New Roman" w:eastAsia="Times New Roman"/>
                <w:b w:val="0"/>
                <w:sz w:val="16"/>
              </w:rPr>
              <w:t>0.820</w:t>
            </w:r>
          </w:p>
        </w:tc>
      </w:tr>
      <w:tr w14:paraId="551E3155">
        <w:trPr>
          <w:jc w:val="center"/>
        </w:trPr>
        <w:tc>
          <w:tcPr>
            <w:tcW w:w="883" w:type="dxa"/>
            <w:vMerge w:val="continue"/>
          </w:tcPr>
          <w:p w14:paraId="469ADB4D"/>
        </w:tc>
        <w:tc>
          <w:tcPr>
            <w:tcW w:w="883" w:type="dxa"/>
          </w:tcPr>
          <w:p w14:paraId="4A935D5F">
            <w:pPr>
              <w:jc w:val="left"/>
            </w:pPr>
            <w:r>
              <w:rPr>
                <w:rFonts w:ascii="Times New Roman" w:hAnsi="Times New Roman" w:eastAsia="Times New Roman"/>
                <w:b w:val="0"/>
                <w:sz w:val="16"/>
              </w:rPr>
              <w:t>FreeNeRF</w:t>
            </w:r>
          </w:p>
        </w:tc>
        <w:tc>
          <w:tcPr>
            <w:tcW w:w="883" w:type="dxa"/>
          </w:tcPr>
          <w:p w14:paraId="013BE863">
            <w:pPr>
              <w:jc w:val="center"/>
            </w:pPr>
            <w:r>
              <w:rPr>
                <w:rFonts w:ascii="Times New Roman" w:hAnsi="Times New Roman" w:eastAsia="Times New Roman"/>
                <w:b w:val="0"/>
                <w:sz w:val="16"/>
              </w:rPr>
              <w:t>30.85</w:t>
            </w:r>
          </w:p>
        </w:tc>
        <w:tc>
          <w:tcPr>
            <w:tcW w:w="883" w:type="dxa"/>
          </w:tcPr>
          <w:p w14:paraId="10E041BB">
            <w:pPr>
              <w:jc w:val="center"/>
            </w:pPr>
            <w:r>
              <w:rPr>
                <w:rFonts w:ascii="Times New Roman" w:hAnsi="Times New Roman" w:eastAsia="Times New Roman"/>
                <w:b w:val="0"/>
                <w:sz w:val="16"/>
              </w:rPr>
              <w:t>19.09</w:t>
            </w:r>
          </w:p>
        </w:tc>
        <w:tc>
          <w:tcPr>
            <w:tcW w:w="883" w:type="dxa"/>
          </w:tcPr>
          <w:p w14:paraId="7B2DFE4B">
            <w:pPr>
              <w:jc w:val="center"/>
            </w:pPr>
            <w:r>
              <w:rPr>
                <w:rFonts w:ascii="Times New Roman" w:hAnsi="Times New Roman" w:eastAsia="Times New Roman"/>
                <w:b w:val="0"/>
                <w:sz w:val="16"/>
              </w:rPr>
              <w:t>0.624</w:t>
            </w:r>
          </w:p>
        </w:tc>
        <w:tc>
          <w:tcPr>
            <w:tcW w:w="883" w:type="dxa"/>
          </w:tcPr>
          <w:p w14:paraId="4ECE18CD">
            <w:pPr>
              <w:jc w:val="center"/>
            </w:pPr>
            <w:r>
              <w:rPr>
                <w:rFonts w:ascii="Times New Roman" w:hAnsi="Times New Roman" w:eastAsia="Times New Roman"/>
                <w:b w:val="0"/>
                <w:sz w:val="16"/>
              </w:rPr>
              <w:t>23.06</w:t>
            </w:r>
          </w:p>
        </w:tc>
        <w:tc>
          <w:tcPr>
            <w:tcW w:w="883" w:type="dxa"/>
          </w:tcPr>
          <w:p w14:paraId="7C56BDF2">
            <w:pPr>
              <w:jc w:val="center"/>
            </w:pPr>
            <w:r>
              <w:rPr>
                <w:rFonts w:ascii="Times New Roman" w:hAnsi="Times New Roman" w:eastAsia="Times New Roman"/>
                <w:b w:val="0"/>
                <w:sz w:val="16"/>
              </w:rPr>
              <w:t>19.81</w:t>
            </w:r>
          </w:p>
        </w:tc>
        <w:tc>
          <w:tcPr>
            <w:tcW w:w="883" w:type="dxa"/>
          </w:tcPr>
          <w:p w14:paraId="3B237107">
            <w:pPr>
              <w:jc w:val="center"/>
            </w:pPr>
            <w:r>
              <w:rPr>
                <w:rFonts w:ascii="Times New Roman" w:hAnsi="Times New Roman" w:eastAsia="Times New Roman"/>
                <w:b w:val="0"/>
                <w:sz w:val="16"/>
              </w:rPr>
              <w:t>0.763</w:t>
            </w:r>
          </w:p>
        </w:tc>
        <w:tc>
          <w:tcPr>
            <w:tcW w:w="883" w:type="dxa"/>
          </w:tcPr>
          <w:p w14:paraId="3501FCA0">
            <w:pPr>
              <w:jc w:val="center"/>
            </w:pPr>
            <w:r>
              <w:rPr>
                <w:rFonts w:ascii="Times New Roman" w:hAnsi="Times New Roman" w:eastAsia="Times New Roman"/>
                <w:b w:val="0"/>
                <w:sz w:val="16"/>
              </w:rPr>
              <w:t>17.94</w:t>
            </w:r>
          </w:p>
        </w:tc>
        <w:tc>
          <w:tcPr>
            <w:tcW w:w="883" w:type="dxa"/>
          </w:tcPr>
          <w:p w14:paraId="32C6113A">
            <w:pPr>
              <w:jc w:val="center"/>
            </w:pPr>
            <w:r>
              <w:rPr>
                <w:rFonts w:ascii="Times New Roman" w:hAnsi="Times New Roman" w:eastAsia="Times New Roman"/>
                <w:b w:val="0"/>
                <w:sz w:val="16"/>
              </w:rPr>
              <w:t>23.08</w:t>
            </w:r>
          </w:p>
        </w:tc>
        <w:tc>
          <w:tcPr>
            <w:tcW w:w="883" w:type="dxa"/>
          </w:tcPr>
          <w:p w14:paraId="50B383A9">
            <w:pPr>
              <w:jc w:val="center"/>
            </w:pPr>
            <w:r>
              <w:rPr>
                <w:rFonts w:ascii="Times New Roman" w:hAnsi="Times New Roman" w:eastAsia="Times New Roman"/>
                <w:b w:val="0"/>
                <w:sz w:val="16"/>
              </w:rPr>
              <w:t>0.823</w:t>
            </w:r>
          </w:p>
        </w:tc>
      </w:tr>
      <w:tr w14:paraId="62276334">
        <w:trPr>
          <w:jc w:val="center"/>
        </w:trPr>
        <w:tc>
          <w:tcPr>
            <w:tcW w:w="883" w:type="dxa"/>
            <w:vMerge w:val="restart"/>
          </w:tcPr>
          <w:p w14:paraId="49D43C5C">
            <w:pPr>
              <w:jc w:val="center"/>
            </w:pPr>
            <w:r>
              <w:rPr>
                <w:rFonts w:ascii="Times New Roman" w:hAnsi="Times New Roman" w:eastAsia="Times New Roman"/>
                <w:b/>
                <w:sz w:val="14"/>
              </w:rPr>
              <w:t>3DGS-based</w:t>
            </w:r>
          </w:p>
        </w:tc>
        <w:tc>
          <w:tcPr>
            <w:tcW w:w="883" w:type="dxa"/>
          </w:tcPr>
          <w:p w14:paraId="0297FC6A">
            <w:pPr>
              <w:jc w:val="left"/>
            </w:pPr>
            <w:r>
              <w:rPr>
                <w:rFonts w:ascii="Times New Roman" w:hAnsi="Times New Roman" w:eastAsia="Times New Roman"/>
                <w:b w:val="0"/>
                <w:sz w:val="16"/>
              </w:rPr>
              <w:t>3DGS</w:t>
            </w:r>
          </w:p>
        </w:tc>
        <w:tc>
          <w:tcPr>
            <w:tcW w:w="883" w:type="dxa"/>
          </w:tcPr>
          <w:p w14:paraId="02002742">
            <w:pPr>
              <w:jc w:val="center"/>
            </w:pPr>
            <w:r>
              <w:rPr>
                <w:rFonts w:ascii="Times New Roman" w:hAnsi="Times New Roman" w:eastAsia="Times New Roman"/>
                <w:b w:val="0"/>
                <w:sz w:val="16"/>
              </w:rPr>
              <w:t>22.93</w:t>
            </w:r>
          </w:p>
        </w:tc>
        <w:tc>
          <w:tcPr>
            <w:tcW w:w="883" w:type="dxa"/>
          </w:tcPr>
          <w:p w14:paraId="16ABBE8E">
            <w:pPr>
              <w:jc w:val="center"/>
            </w:pPr>
            <w:r>
              <w:rPr>
                <w:rFonts w:ascii="Times New Roman" w:hAnsi="Times New Roman" w:eastAsia="Times New Roman"/>
                <w:b w:val="0"/>
                <w:sz w:val="16"/>
              </w:rPr>
              <w:t>19.32</w:t>
            </w:r>
          </w:p>
        </w:tc>
        <w:tc>
          <w:tcPr>
            <w:tcW w:w="883" w:type="dxa"/>
          </w:tcPr>
          <w:p w14:paraId="30EAB604">
            <w:pPr>
              <w:jc w:val="center"/>
            </w:pPr>
            <w:r>
              <w:rPr>
                <w:rFonts w:ascii="Times New Roman" w:hAnsi="Times New Roman" w:eastAsia="Times New Roman"/>
                <w:b w:val="0"/>
                <w:sz w:val="16"/>
              </w:rPr>
              <w:t>0.649</w:t>
            </w:r>
          </w:p>
        </w:tc>
        <w:tc>
          <w:tcPr>
            <w:tcW w:w="883" w:type="dxa"/>
          </w:tcPr>
          <w:p w14:paraId="2A8361F8">
            <w:pPr>
              <w:jc w:val="center"/>
            </w:pPr>
            <w:r>
              <w:rPr>
                <w:rFonts w:ascii="Times New Roman" w:hAnsi="Times New Roman" w:eastAsia="Times New Roman"/>
                <w:b w:val="0"/>
                <w:sz w:val="16"/>
              </w:rPr>
              <w:t>13.45</w:t>
            </w:r>
          </w:p>
        </w:tc>
        <w:tc>
          <w:tcPr>
            <w:tcW w:w="883" w:type="dxa"/>
          </w:tcPr>
          <w:p w14:paraId="70E38528">
            <w:pPr>
              <w:jc w:val="center"/>
            </w:pPr>
            <w:r>
              <w:rPr>
                <w:rFonts w:ascii="Times New Roman" w:hAnsi="Times New Roman" w:eastAsia="Times New Roman"/>
                <w:b w:val="0"/>
                <w:sz w:val="16"/>
              </w:rPr>
              <w:t>23.80</w:t>
            </w:r>
          </w:p>
        </w:tc>
        <w:tc>
          <w:tcPr>
            <w:tcW w:w="883" w:type="dxa"/>
          </w:tcPr>
          <w:p w14:paraId="023B4F26">
            <w:pPr>
              <w:jc w:val="center"/>
            </w:pPr>
            <w:r>
              <w:rPr>
                <w:rFonts w:ascii="Times New Roman" w:hAnsi="Times New Roman" w:eastAsia="Times New Roman"/>
                <w:b w:val="0"/>
                <w:sz w:val="16"/>
              </w:rPr>
              <w:t>0.814</w:t>
            </w:r>
          </w:p>
        </w:tc>
        <w:tc>
          <w:tcPr>
            <w:tcW w:w="883" w:type="dxa"/>
          </w:tcPr>
          <w:p w14:paraId="77927A75">
            <w:pPr>
              <w:jc w:val="center"/>
            </w:pPr>
            <w:r>
              <w:rPr>
                <w:rFonts w:ascii="Times New Roman" w:hAnsi="Times New Roman" w:eastAsia="Times New Roman"/>
                <w:b w:val="0"/>
                <w:sz w:val="16"/>
              </w:rPr>
              <w:t>9.68</w:t>
            </w:r>
          </w:p>
        </w:tc>
        <w:tc>
          <w:tcPr>
            <w:tcW w:w="883" w:type="dxa"/>
          </w:tcPr>
          <w:p w14:paraId="0E28F82E">
            <w:pPr>
              <w:jc w:val="center"/>
            </w:pPr>
            <w:r>
              <w:rPr>
                <w:rFonts w:ascii="Times New Roman" w:hAnsi="Times New Roman" w:eastAsia="Times New Roman"/>
                <w:b w:val="0"/>
                <w:sz w:val="16"/>
              </w:rPr>
              <w:t>25.44</w:t>
            </w:r>
          </w:p>
        </w:tc>
        <w:tc>
          <w:tcPr>
            <w:tcW w:w="883" w:type="dxa"/>
          </w:tcPr>
          <w:p w14:paraId="07D624AF">
            <w:pPr>
              <w:jc w:val="center"/>
            </w:pPr>
            <w:r>
              <w:rPr>
                <w:rFonts w:ascii="Times New Roman" w:hAnsi="Times New Roman" w:eastAsia="Times New Roman"/>
                <w:b w:val="0"/>
                <w:sz w:val="16"/>
              </w:rPr>
              <w:t>0.860</w:t>
            </w:r>
          </w:p>
        </w:tc>
      </w:tr>
      <w:tr w14:paraId="600A7771">
        <w:trPr>
          <w:jc w:val="center"/>
        </w:trPr>
        <w:tc>
          <w:tcPr>
            <w:tcW w:w="883" w:type="dxa"/>
            <w:vMerge w:val="continue"/>
          </w:tcPr>
          <w:p w14:paraId="510B96DD"/>
        </w:tc>
        <w:tc>
          <w:tcPr>
            <w:tcW w:w="883" w:type="dxa"/>
          </w:tcPr>
          <w:p w14:paraId="4270F692">
            <w:pPr>
              <w:jc w:val="left"/>
            </w:pPr>
            <w:r>
              <w:rPr>
                <w:rFonts w:ascii="Times New Roman" w:hAnsi="Times New Roman" w:eastAsia="Times New Roman"/>
                <w:b w:val="0"/>
                <w:sz w:val="16"/>
              </w:rPr>
              <w:t>CoR-GS</w:t>
            </w:r>
          </w:p>
        </w:tc>
        <w:tc>
          <w:tcPr>
            <w:tcW w:w="883" w:type="dxa"/>
          </w:tcPr>
          <w:p w14:paraId="3FACE28B">
            <w:pPr>
              <w:jc w:val="center"/>
            </w:pPr>
            <w:r>
              <w:rPr>
                <w:rFonts w:ascii="Times New Roman" w:hAnsi="Times New Roman" w:eastAsia="Times New Roman"/>
                <w:b w:val="0"/>
                <w:sz w:val="16"/>
              </w:rPr>
              <w:t>19.66</w:t>
            </w:r>
          </w:p>
        </w:tc>
        <w:tc>
          <w:tcPr>
            <w:tcW w:w="883" w:type="dxa"/>
          </w:tcPr>
          <w:p w14:paraId="18C60C7F">
            <w:pPr>
              <w:jc w:val="center"/>
            </w:pPr>
            <w:r>
              <w:rPr>
                <w:rFonts w:ascii="Times New Roman" w:hAnsi="Times New Roman" w:eastAsia="Times New Roman"/>
                <w:b w:val="0"/>
                <w:sz w:val="16"/>
              </w:rPr>
              <w:t>20.45</w:t>
            </w:r>
          </w:p>
        </w:tc>
        <w:tc>
          <w:tcPr>
            <w:tcW w:w="883" w:type="dxa"/>
          </w:tcPr>
          <w:p w14:paraId="12FFA6A8">
            <w:pPr>
              <w:jc w:val="center"/>
            </w:pPr>
            <w:r>
              <w:rPr>
                <w:rFonts w:ascii="Times New Roman" w:hAnsi="Times New Roman" w:eastAsia="Times New Roman"/>
                <w:b w:val="0"/>
                <w:sz w:val="16"/>
              </w:rPr>
              <w:t>0.696</w:t>
            </w:r>
          </w:p>
        </w:tc>
        <w:tc>
          <w:tcPr>
            <w:tcW w:w="883" w:type="dxa"/>
          </w:tcPr>
          <w:p w14:paraId="6A0E60FB">
            <w:pPr>
              <w:jc w:val="center"/>
            </w:pPr>
            <w:r>
              <w:rPr>
                <w:rFonts w:ascii="Times New Roman" w:hAnsi="Times New Roman" w:eastAsia="Times New Roman"/>
                <w:b w:val="0"/>
                <w:sz w:val="16"/>
              </w:rPr>
              <w:t>12.53</w:t>
            </w:r>
          </w:p>
        </w:tc>
        <w:tc>
          <w:tcPr>
            <w:tcW w:w="883" w:type="dxa"/>
          </w:tcPr>
          <w:p w14:paraId="7D9B5D6A">
            <w:pPr>
              <w:jc w:val="center"/>
            </w:pPr>
            <w:r>
              <w:rPr>
                <w:rFonts w:ascii="Times New Roman" w:hAnsi="Times New Roman" w:eastAsia="Times New Roman"/>
                <w:b w:val="0"/>
                <w:sz w:val="16"/>
              </w:rPr>
              <w:t>23.87</w:t>
            </w:r>
          </w:p>
        </w:tc>
        <w:tc>
          <w:tcPr>
            <w:tcW w:w="883" w:type="dxa"/>
          </w:tcPr>
          <w:p w14:paraId="353A9FDD">
            <w:pPr>
              <w:jc w:val="center"/>
            </w:pPr>
            <w:r>
              <w:rPr>
                <w:rFonts w:ascii="Times New Roman" w:hAnsi="Times New Roman" w:eastAsia="Times New Roman"/>
                <w:b w:val="0"/>
                <w:sz w:val="16"/>
              </w:rPr>
              <w:t>0.840</w:t>
            </w:r>
          </w:p>
        </w:tc>
        <w:tc>
          <w:tcPr>
            <w:tcW w:w="883" w:type="dxa"/>
          </w:tcPr>
          <w:p w14:paraId="3444E1EE">
            <w:pPr>
              <w:jc w:val="center"/>
            </w:pPr>
            <w:r>
              <w:rPr>
                <w:rFonts w:ascii="Times New Roman" w:hAnsi="Times New Roman" w:eastAsia="Times New Roman"/>
                <w:b w:val="0"/>
                <w:sz w:val="16"/>
              </w:rPr>
              <w:t>8.94</w:t>
            </w:r>
          </w:p>
        </w:tc>
        <w:tc>
          <w:tcPr>
            <w:tcW w:w="883" w:type="dxa"/>
          </w:tcPr>
          <w:p w14:paraId="32015FC8">
            <w:pPr>
              <w:jc w:val="center"/>
            </w:pPr>
            <w:r>
              <w:rPr>
                <w:rFonts w:ascii="Times New Roman" w:hAnsi="Times New Roman" w:eastAsia="Times New Roman"/>
                <w:b w:val="0"/>
                <w:sz w:val="16"/>
              </w:rPr>
              <w:t>26.70</w:t>
            </w:r>
          </w:p>
        </w:tc>
        <w:tc>
          <w:tcPr>
            <w:tcW w:w="883" w:type="dxa"/>
          </w:tcPr>
          <w:p w14:paraId="5E154058">
            <w:pPr>
              <w:jc w:val="center"/>
            </w:pPr>
            <w:r>
              <w:rPr>
                <w:rFonts w:ascii="Times New Roman" w:hAnsi="Times New Roman" w:eastAsia="Times New Roman"/>
                <w:b w:val="0"/>
                <w:sz w:val="16"/>
              </w:rPr>
              <w:t>0.874</w:t>
            </w:r>
          </w:p>
        </w:tc>
      </w:tr>
      <w:tr w14:paraId="06A77D1A">
        <w:trPr>
          <w:jc w:val="center"/>
        </w:trPr>
        <w:tc>
          <w:tcPr>
            <w:tcW w:w="883" w:type="dxa"/>
            <w:vMerge w:val="continue"/>
          </w:tcPr>
          <w:p w14:paraId="199E153D"/>
        </w:tc>
        <w:tc>
          <w:tcPr>
            <w:tcW w:w="883" w:type="dxa"/>
          </w:tcPr>
          <w:p w14:paraId="22D75542">
            <w:pPr>
              <w:jc w:val="left"/>
            </w:pPr>
            <w:r>
              <w:rPr>
                <w:rFonts w:ascii="Times New Roman" w:hAnsi="Times New Roman" w:eastAsia="Times New Roman"/>
                <w:b w:val="0"/>
                <w:sz w:val="16"/>
              </w:rPr>
              <w:t>DropGaussian</w:t>
            </w:r>
          </w:p>
        </w:tc>
        <w:tc>
          <w:tcPr>
            <w:tcW w:w="883" w:type="dxa"/>
          </w:tcPr>
          <w:p w14:paraId="515692EE">
            <w:pPr>
              <w:jc w:val="center"/>
            </w:pPr>
            <w:r>
              <w:rPr>
                <w:rFonts w:ascii="Times New Roman" w:hAnsi="Times New Roman" w:eastAsia="Times New Roman"/>
                <w:b w:val="0"/>
                <w:sz w:val="16"/>
              </w:rPr>
              <w:t>21.93</w:t>
            </w:r>
          </w:p>
        </w:tc>
        <w:tc>
          <w:tcPr>
            <w:tcW w:w="883" w:type="dxa"/>
          </w:tcPr>
          <w:p w14:paraId="19DF7BAC">
            <w:pPr>
              <w:jc w:val="center"/>
            </w:pPr>
            <w:r>
              <w:rPr>
                <w:rFonts w:ascii="Times New Roman" w:hAnsi="Times New Roman" w:eastAsia="Times New Roman"/>
                <w:b w:val="0"/>
                <w:sz w:val="16"/>
              </w:rPr>
              <w:t>19.80</w:t>
            </w:r>
          </w:p>
        </w:tc>
        <w:tc>
          <w:tcPr>
            <w:tcW w:w="883" w:type="dxa"/>
          </w:tcPr>
          <w:p w14:paraId="72946E3D">
            <w:pPr>
              <w:jc w:val="center"/>
            </w:pPr>
            <w:r>
              <w:rPr>
                <w:rFonts w:ascii="Times New Roman" w:hAnsi="Times New Roman" w:eastAsia="Times New Roman"/>
                <w:b w:val="0"/>
                <w:sz w:val="16"/>
              </w:rPr>
              <w:t>0.621</w:t>
            </w:r>
          </w:p>
        </w:tc>
        <w:tc>
          <w:tcPr>
            <w:tcW w:w="883" w:type="dxa"/>
          </w:tcPr>
          <w:p w14:paraId="06190998">
            <w:pPr>
              <w:jc w:val="center"/>
            </w:pPr>
            <w:r>
              <w:rPr>
                <w:rFonts w:ascii="Times New Roman" w:hAnsi="Times New Roman" w:eastAsia="Times New Roman"/>
                <w:b w:val="0"/>
                <w:sz w:val="16"/>
              </w:rPr>
              <w:t>13.79</w:t>
            </w:r>
          </w:p>
        </w:tc>
        <w:tc>
          <w:tcPr>
            <w:tcW w:w="883" w:type="dxa"/>
          </w:tcPr>
          <w:p w14:paraId="5A2D6FD1">
            <w:pPr>
              <w:jc w:val="center"/>
            </w:pPr>
            <w:r>
              <w:rPr>
                <w:rFonts w:ascii="Times New Roman" w:hAnsi="Times New Roman" w:eastAsia="Times New Roman"/>
                <w:b w:val="0"/>
                <w:sz w:val="16"/>
              </w:rPr>
              <w:t>23.41</w:t>
            </w:r>
          </w:p>
        </w:tc>
        <w:tc>
          <w:tcPr>
            <w:tcW w:w="883" w:type="dxa"/>
          </w:tcPr>
          <w:p w14:paraId="77473021">
            <w:pPr>
              <w:jc w:val="center"/>
            </w:pPr>
            <w:r>
              <w:rPr>
                <w:rFonts w:ascii="Times New Roman" w:hAnsi="Times New Roman" w:eastAsia="Times New Roman"/>
                <w:b w:val="0"/>
                <w:sz w:val="16"/>
              </w:rPr>
              <w:t>0.803</w:t>
            </w:r>
          </w:p>
        </w:tc>
        <w:tc>
          <w:tcPr>
            <w:tcW w:w="883" w:type="dxa"/>
          </w:tcPr>
          <w:p w14:paraId="5B187982">
            <w:pPr>
              <w:jc w:val="center"/>
            </w:pPr>
            <w:r>
              <w:rPr>
                <w:rFonts w:ascii="Times New Roman" w:hAnsi="Times New Roman" w:eastAsia="Times New Roman"/>
                <w:b w:val="0"/>
                <w:sz w:val="16"/>
              </w:rPr>
              <w:t>9.40</w:t>
            </w:r>
          </w:p>
        </w:tc>
        <w:tc>
          <w:tcPr>
            <w:tcW w:w="883" w:type="dxa"/>
          </w:tcPr>
          <w:p w14:paraId="046C86ED">
            <w:pPr>
              <w:jc w:val="center"/>
            </w:pPr>
            <w:r>
              <w:rPr>
                <w:rFonts w:ascii="Times New Roman" w:hAnsi="Times New Roman" w:eastAsia="Times New Roman"/>
                <w:b w:val="0"/>
                <w:sz w:val="16"/>
              </w:rPr>
              <w:t>25.87</w:t>
            </w:r>
          </w:p>
        </w:tc>
        <w:tc>
          <w:tcPr>
            <w:tcW w:w="883" w:type="dxa"/>
          </w:tcPr>
          <w:p w14:paraId="2FCC66B6">
            <w:pPr>
              <w:jc w:val="center"/>
            </w:pPr>
            <w:r>
              <w:rPr>
                <w:rFonts w:ascii="Times New Roman" w:hAnsi="Times New Roman" w:eastAsia="Times New Roman"/>
                <w:b w:val="0"/>
                <w:sz w:val="16"/>
              </w:rPr>
              <w:t>0.868</w:t>
            </w:r>
          </w:p>
        </w:tc>
      </w:tr>
      <w:tr w14:paraId="2C21C2DC">
        <w:trPr>
          <w:jc w:val="center"/>
        </w:trPr>
        <w:tc>
          <w:tcPr>
            <w:tcW w:w="883" w:type="dxa"/>
            <w:vMerge w:val="continue"/>
          </w:tcPr>
          <w:p w14:paraId="1CF9286B"/>
        </w:tc>
        <w:tc>
          <w:tcPr>
            <w:tcW w:w="883" w:type="dxa"/>
          </w:tcPr>
          <w:p w14:paraId="13F9AFD3">
            <w:pPr>
              <w:jc w:val="left"/>
            </w:pPr>
            <w:r>
              <w:rPr>
                <w:rFonts w:ascii="Times New Roman" w:hAnsi="Times New Roman" w:eastAsia="Times New Roman"/>
                <w:b w:val="0"/>
                <w:sz w:val="16"/>
              </w:rPr>
              <w:t>D²GS</w:t>
            </w:r>
          </w:p>
        </w:tc>
        <w:tc>
          <w:tcPr>
            <w:tcW w:w="883" w:type="dxa"/>
          </w:tcPr>
          <w:p w14:paraId="4D0DF50D">
            <w:pPr>
              <w:jc w:val="center"/>
            </w:pPr>
            <w:r>
              <w:rPr>
                <w:rFonts w:ascii="Times New Roman" w:hAnsi="Times New Roman" w:eastAsia="Times New Roman"/>
                <w:b w:val="0"/>
                <w:sz w:val="16"/>
              </w:rPr>
              <w:t>17.98</w:t>
            </w:r>
          </w:p>
        </w:tc>
        <w:tc>
          <w:tcPr>
            <w:tcW w:w="883" w:type="dxa"/>
          </w:tcPr>
          <w:p w14:paraId="1274C732">
            <w:pPr>
              <w:jc w:val="center"/>
            </w:pPr>
            <w:r>
              <w:rPr>
                <w:rFonts w:ascii="Times New Roman" w:hAnsi="Times New Roman" w:eastAsia="Times New Roman"/>
                <w:b w:val="0"/>
                <w:sz w:val="16"/>
              </w:rPr>
              <w:t>22.35</w:t>
            </w:r>
          </w:p>
        </w:tc>
        <w:tc>
          <w:tcPr>
            <w:tcW w:w="883" w:type="dxa"/>
          </w:tcPr>
          <w:p w14:paraId="1612DBA3">
            <w:pPr>
              <w:jc w:val="center"/>
            </w:pPr>
            <w:r>
              <w:rPr>
                <w:rFonts w:ascii="Times New Roman" w:hAnsi="Times New Roman" w:eastAsia="Times New Roman"/>
                <w:b w:val="0"/>
                <w:sz w:val="16"/>
              </w:rPr>
              <w:t>0.746</w:t>
            </w:r>
          </w:p>
        </w:tc>
        <w:tc>
          <w:tcPr>
            <w:tcW w:w="883" w:type="dxa"/>
          </w:tcPr>
          <w:p w14:paraId="08FF89E8">
            <w:pPr>
              <w:jc w:val="center"/>
            </w:pPr>
            <w:r>
              <w:rPr>
                <w:rFonts w:ascii="Times New Roman" w:hAnsi="Times New Roman" w:eastAsia="Times New Roman"/>
                <w:b w:val="0"/>
                <w:sz w:val="16"/>
              </w:rPr>
              <w:t>13.85</w:t>
            </w:r>
          </w:p>
        </w:tc>
        <w:tc>
          <w:tcPr>
            <w:tcW w:w="883" w:type="dxa"/>
          </w:tcPr>
          <w:p w14:paraId="22A74EEC">
            <w:pPr>
              <w:jc w:val="center"/>
            </w:pPr>
            <w:r>
              <w:rPr>
                <w:rFonts w:ascii="Times New Roman" w:hAnsi="Times New Roman" w:eastAsia="Times New Roman"/>
                <w:b w:val="0"/>
                <w:sz w:val="16"/>
              </w:rPr>
              <w:t>23.91</w:t>
            </w:r>
          </w:p>
        </w:tc>
        <w:tc>
          <w:tcPr>
            <w:tcW w:w="883" w:type="dxa"/>
          </w:tcPr>
          <w:p w14:paraId="560C4386">
            <w:pPr>
              <w:jc w:val="center"/>
            </w:pPr>
            <w:r>
              <w:rPr>
                <w:rFonts w:ascii="Times New Roman" w:hAnsi="Times New Roman" w:eastAsia="Times New Roman"/>
                <w:b w:val="0"/>
                <w:sz w:val="16"/>
              </w:rPr>
              <w:t>0.846</w:t>
            </w:r>
          </w:p>
        </w:tc>
        <w:tc>
          <w:tcPr>
            <w:tcW w:w="883" w:type="dxa"/>
          </w:tcPr>
          <w:p w14:paraId="32FAD96B">
            <w:pPr>
              <w:jc w:val="center"/>
            </w:pPr>
            <w:r>
              <w:rPr>
                <w:rFonts w:ascii="Times New Roman" w:hAnsi="Times New Roman" w:eastAsia="Times New Roman"/>
                <w:b w:val="0"/>
                <w:sz w:val="16"/>
              </w:rPr>
              <w:t>8.91</w:t>
            </w:r>
          </w:p>
        </w:tc>
        <w:tc>
          <w:tcPr>
            <w:tcW w:w="883" w:type="dxa"/>
          </w:tcPr>
          <w:p w14:paraId="4B4C1C54">
            <w:pPr>
              <w:jc w:val="center"/>
            </w:pPr>
            <w:r>
              <w:rPr>
                <w:rFonts w:ascii="Times New Roman" w:hAnsi="Times New Roman" w:eastAsia="Times New Roman"/>
                <w:b w:val="0"/>
                <w:sz w:val="16"/>
              </w:rPr>
              <w:t>26.80</w:t>
            </w:r>
          </w:p>
        </w:tc>
        <w:tc>
          <w:tcPr>
            <w:tcW w:w="883" w:type="dxa"/>
          </w:tcPr>
          <w:p w14:paraId="6EF03617">
            <w:pPr>
              <w:jc w:val="center"/>
            </w:pPr>
            <w:r>
              <w:rPr>
                <w:rFonts w:ascii="Times New Roman" w:hAnsi="Times New Roman" w:eastAsia="Times New Roman"/>
                <w:b w:val="0"/>
                <w:sz w:val="16"/>
              </w:rPr>
              <w:t>0.871</w:t>
            </w:r>
          </w:p>
        </w:tc>
      </w:tr>
      <w:tr w14:paraId="4F6AA47E">
        <w:trPr>
          <w:jc w:val="center"/>
        </w:trPr>
        <w:tc>
          <w:tcPr>
            <w:tcW w:w="883" w:type="dxa"/>
            <w:vMerge w:val="continue"/>
          </w:tcPr>
          <w:p w14:paraId="52241C1A"/>
        </w:tc>
        <w:tc>
          <w:tcPr>
            <w:tcW w:w="883" w:type="dxa"/>
          </w:tcPr>
          <w:p w14:paraId="120DE28B">
            <w:pPr>
              <w:jc w:val="left"/>
            </w:pPr>
            <w:r>
              <w:rPr>
                <w:rFonts w:ascii="Times New Roman" w:hAnsi="Times New Roman" w:eastAsia="Times New Roman"/>
                <w:b/>
                <w:sz w:val="16"/>
              </w:rPr>
              <w:t>SynGS (Ours)</w:t>
            </w:r>
          </w:p>
        </w:tc>
        <w:tc>
          <w:tcPr>
            <w:tcW w:w="883" w:type="dxa"/>
          </w:tcPr>
          <w:p w14:paraId="528A869C">
            <w:pPr>
              <w:jc w:val="center"/>
            </w:pPr>
            <w:r>
              <w:rPr>
                <w:rFonts w:ascii="Times New Roman" w:hAnsi="Times New Roman" w:eastAsia="Times New Roman"/>
                <w:b w:val="0"/>
                <w:sz w:val="16"/>
              </w:rPr>
              <w:t>16.92</w:t>
            </w:r>
          </w:p>
        </w:tc>
        <w:tc>
          <w:tcPr>
            <w:tcW w:w="883" w:type="dxa"/>
          </w:tcPr>
          <w:p w14:paraId="7E4C63AB">
            <w:pPr>
              <w:jc w:val="center"/>
            </w:pPr>
            <w:r>
              <w:rPr>
                <w:rFonts w:ascii="Times New Roman" w:hAnsi="Times New Roman" w:eastAsia="Times New Roman"/>
                <w:b w:val="0"/>
                <w:sz w:val="16"/>
              </w:rPr>
              <w:t>23.92</w:t>
            </w:r>
          </w:p>
        </w:tc>
        <w:tc>
          <w:tcPr>
            <w:tcW w:w="883" w:type="dxa"/>
          </w:tcPr>
          <w:p w14:paraId="3CF83A9A">
            <w:pPr>
              <w:jc w:val="center"/>
            </w:pPr>
            <w:r>
              <w:rPr>
                <w:rFonts w:ascii="Times New Roman" w:hAnsi="Times New Roman" w:eastAsia="Times New Roman"/>
                <w:b w:val="0"/>
                <w:sz w:val="16"/>
              </w:rPr>
              <w:t>0.762</w:t>
            </w:r>
          </w:p>
        </w:tc>
        <w:tc>
          <w:tcPr>
            <w:tcW w:w="883" w:type="dxa"/>
          </w:tcPr>
          <w:p w14:paraId="0DCE0FAC">
            <w:pPr>
              <w:jc w:val="center"/>
            </w:pPr>
            <w:r>
              <w:rPr>
                <w:rFonts w:ascii="Times New Roman" w:hAnsi="Times New Roman" w:eastAsia="Times New Roman"/>
                <w:b w:val="0"/>
                <w:sz w:val="16"/>
              </w:rPr>
              <w:t>12.54</w:t>
            </w:r>
          </w:p>
        </w:tc>
        <w:tc>
          <w:tcPr>
            <w:tcW w:w="883" w:type="dxa"/>
          </w:tcPr>
          <w:p w14:paraId="68E20012">
            <w:pPr>
              <w:jc w:val="center"/>
            </w:pPr>
            <w:r>
              <w:rPr>
                <w:rFonts w:ascii="Times New Roman" w:hAnsi="Times New Roman" w:eastAsia="Times New Roman"/>
                <w:b w:val="0"/>
                <w:sz w:val="16"/>
              </w:rPr>
              <w:t>25.17</w:t>
            </w:r>
          </w:p>
        </w:tc>
        <w:tc>
          <w:tcPr>
            <w:tcW w:w="883" w:type="dxa"/>
          </w:tcPr>
          <w:p w14:paraId="0CF19DCD">
            <w:pPr>
              <w:jc w:val="center"/>
            </w:pPr>
            <w:r>
              <w:rPr>
                <w:rFonts w:ascii="Times New Roman" w:hAnsi="Times New Roman" w:eastAsia="Times New Roman"/>
                <w:b w:val="0"/>
                <w:sz w:val="16"/>
              </w:rPr>
              <w:t>0.848</w:t>
            </w:r>
          </w:p>
        </w:tc>
        <w:tc>
          <w:tcPr>
            <w:tcW w:w="883" w:type="dxa"/>
          </w:tcPr>
          <w:p w14:paraId="1A31871B">
            <w:pPr>
              <w:jc w:val="center"/>
            </w:pPr>
            <w:r>
              <w:rPr>
                <w:rFonts w:ascii="Times New Roman" w:hAnsi="Times New Roman" w:eastAsia="Times New Roman"/>
                <w:b w:val="0"/>
                <w:sz w:val="16"/>
              </w:rPr>
              <w:t>8.96</w:t>
            </w:r>
          </w:p>
        </w:tc>
        <w:tc>
          <w:tcPr>
            <w:tcW w:w="883" w:type="dxa"/>
          </w:tcPr>
          <w:p w14:paraId="3E0A9E00">
            <w:pPr>
              <w:jc w:val="center"/>
            </w:pPr>
            <w:r>
              <w:rPr>
                <w:rFonts w:ascii="Times New Roman" w:hAnsi="Times New Roman" w:eastAsia="Times New Roman"/>
                <w:b w:val="0"/>
                <w:sz w:val="16"/>
              </w:rPr>
              <w:t>26.71</w:t>
            </w:r>
          </w:p>
        </w:tc>
        <w:tc>
          <w:tcPr>
            <w:tcW w:w="883" w:type="dxa"/>
          </w:tcPr>
          <w:p w14:paraId="495A5E81">
            <w:pPr>
              <w:jc w:val="center"/>
            </w:pPr>
            <w:r>
              <w:rPr>
                <w:rFonts w:ascii="Times New Roman" w:hAnsi="Times New Roman" w:eastAsia="Times New Roman"/>
                <w:b w:val="0"/>
                <w:sz w:val="16"/>
              </w:rPr>
              <w:t>0.871</w:t>
            </w:r>
          </w:p>
        </w:tc>
      </w:tr>
    </w:tbl>
    <w:p w14:paraId="2887B0E1">
      <w:pPr>
        <w:pStyle w:val="4"/>
        <w:jc w:val="both"/>
      </w:pPr>
      <w:r>
        <w:rPr>
          <w:rFonts w:ascii="Times New Roman" w:hAnsi="Times New Roman" w:eastAsia="Times New Roman"/>
          <w:b/>
          <w:bCs/>
          <w:sz w:val="20"/>
        </w:rPr>
        <w:t>Mip-NeRF 360 and LLFF.</w:t>
      </w:r>
      <w:r>
        <w:rPr>
          <w:rFonts w:ascii="Times New Roman" w:hAnsi="Times New Roman" w:eastAsia="Times New Roman"/>
          <w:sz w:val="20"/>
        </w:rPr>
        <w:t xml:space="preserve"> Table 1 reports the results on Mip-NeRF 360 under the 4-, 6-, and 9-view settings. SynGS achieves the highest PSNR and SSIM in all three settings, with the largest PSNR advantage in the 4-view case: 25.91 dB, 3.56 dB above D²GS </w:t>
      </w:r>
      <w:r>
        <w:rPr>
          <w:rFonts w:ascii="Times New Roman" w:hAnsi="Times New Roman" w:eastAsia="Times New Roman"/>
          <w:sz w:val="20"/>
          <w:vertAlign w:val="superscript"/>
        </w:rPr>
        <w:t>[44]</w:t>
      </w:r>
      <w:r>
        <w:rPr>
          <w:rFonts w:ascii="Times New Roman" w:hAnsi="Times New Roman" w:eastAsia="Times New Roman"/>
          <w:sz w:val="20"/>
        </w:rPr>
        <w:t xml:space="preserve">. For LPIPS, D²GS obtains lower values across the three settings. Table 2 shows a similar trend. With four views, SynGS achieves the best PSNR, SSIM, and LPIPS; under six views it obtains the highest PSNR and SSIM with LPIPS close to the best result. At nine views, D²GS </w:t>
      </w:r>
      <w:r>
        <w:rPr>
          <w:rFonts w:ascii="Times New Roman" w:hAnsi="Times New Roman" w:eastAsia="Times New Roman"/>
          <w:sz w:val="20"/>
          <w:vertAlign w:val="superscript"/>
        </w:rPr>
        <w:t>[44]</w:t>
      </w:r>
      <w:r>
        <w:rPr>
          <w:rFonts w:ascii="Times New Roman" w:hAnsi="Times New Roman" w:eastAsia="Times New Roman"/>
          <w:sz w:val="20"/>
        </w:rPr>
        <w:t xml:space="preserve"> gives slightly higher PSNR and lower LPIPS, while CoR-GS </w:t>
      </w:r>
      <w:r>
        <w:rPr>
          <w:rFonts w:ascii="Times New Roman" w:hAnsi="Times New Roman" w:eastAsia="Times New Roman"/>
          <w:sz w:val="20"/>
          <w:vertAlign w:val="superscript"/>
        </w:rPr>
        <w:t>[13]</w:t>
      </w:r>
      <w:r>
        <w:rPr>
          <w:rFonts w:ascii="Times New Roman" w:hAnsi="Times New Roman" w:eastAsia="Times New Roman"/>
          <w:sz w:val="20"/>
        </w:rPr>
        <w:t xml:space="preserve"> achieves slightly higher SSIM. The clearest advantage appears in the 4- and 6-view settings.</w:t>
      </w:r>
    </w:p>
    <w:p w14:paraId="0B642D31">
      <w:pPr>
        <w:pStyle w:val="4"/>
        <w:jc w:val="both"/>
      </w:pPr>
      <w:r>
        <w:rPr>
          <w:rFonts w:ascii="Times New Roman" w:hAnsi="Times New Roman" w:eastAsia="Times New Roman"/>
          <w:b/>
          <w:bCs/>
          <w:sz w:val="20"/>
        </w:rPr>
        <w:t>Qualitative Results.</w:t>
      </w:r>
      <w:r>
        <w:rPr>
          <w:rFonts w:ascii="Times New Roman" w:hAnsi="Times New Roman" w:eastAsia="Times New Roman"/>
          <w:sz w:val="20"/>
        </w:rPr>
        <w:t xml:space="preserve"> Figure 3 shows the 4-view comparison on Mip-NeRF 360. SynGS produces fewer floating artifacts and more complete object boundaries, and preserves finer structures where baselines show broken contours or missing details.</w:t>
      </w:r>
    </w:p>
    <w:p w14:paraId="358099D7">
      <w:pPr>
        <w:pStyle w:val="4"/>
        <w:jc w:val="center"/>
      </w:pPr>
      <w:r>
        <w:rPr>
          <w:rFonts w:ascii="Times New Roman" w:hAnsi="Times New Roman" w:eastAsia="Times New Roman"/>
          <w:sz w:val="20"/>
        </w:rPr>
        <w:drawing>
          <wp:inline distT="0" distB="0" distL="114300" distR="114300">
            <wp:extent cx="5939790" cy="2029460"/>
            <wp:effectExtent l="0" t="0" r="0" b="0"/>
            <wp:docPr id="47" name="Picture" descr="Figure 3. Qualitative comparison under the 4-view sparse-input setting on Mip-NeRF 360. SynGS produces fewer floating artifacts and more complete structural boundaries than the compared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3. Qualitative comparison under the 4-view sparse-input setting on Mip-NeRF 360. SynGS produces fewer floating artifacts and more complete structural boundaries than the compared methods."/>
                    <pic:cNvPicPr>
                      <a:picLocks noChangeAspect="1" noChangeArrowheads="1"/>
                    </pic:cNvPicPr>
                  </pic:nvPicPr>
                  <pic:blipFill>
                    <a:blip r:embed="rId8"/>
                    <a:stretch>
                      <a:fillRect/>
                    </a:stretch>
                  </pic:blipFill>
                  <pic:spPr>
                    <a:xfrm>
                      <a:off x="0" y="0"/>
                      <a:ext cx="5940000" cy="2029746"/>
                    </a:xfrm>
                    <a:prstGeom prst="rect">
                      <a:avLst/>
                    </a:prstGeom>
                    <a:noFill/>
                    <a:ln w="9525">
                      <a:noFill/>
                    </a:ln>
                  </pic:spPr>
                </pic:pic>
              </a:graphicData>
            </a:graphic>
          </wp:inline>
        </w:drawing>
      </w:r>
    </w:p>
    <w:p w14:paraId="6221CB75">
      <w:pPr>
        <w:pStyle w:val="37"/>
        <w:jc w:val="both"/>
      </w:pPr>
      <w:r>
        <w:rPr>
          <w:rFonts w:ascii="Times New Roman" w:hAnsi="Times New Roman" w:eastAsia="Times New Roman"/>
          <w:sz w:val="18"/>
        </w:rPr>
        <w:t>Figure 3. Qualitative comparison under the 4-view sparse-input setting on Mip-NeRF 360. SynGS produces fewer floating artifacts and more complete structural boundaries than the compared methods.</w:t>
      </w:r>
    </w:p>
    <w:bookmarkEnd w:id="8"/>
    <w:p w14:paraId="2028F9F7">
      <w:pPr>
        <w:pStyle w:val="3"/>
      </w:pPr>
      <w:bookmarkStart w:id="9" w:name="_5030b34ff2ac2b18037d46fbc3c88a9b438a09f"/>
      <w:r>
        <w:rPr>
          <w:rFonts w:ascii="Times New Roman" w:hAnsi="Times New Roman" w:eastAsia="Times New Roman"/>
          <w:b/>
          <w:sz w:val="20"/>
        </w:rPr>
        <w:t>Ablation Study</w:t>
      </w:r>
    </w:p>
    <w:p w14:paraId="7DDB2FCD">
      <w:pPr>
        <w:pStyle w:val="45"/>
        <w:jc w:val="both"/>
      </w:pPr>
      <w:r>
        <w:rPr>
          <w:rFonts w:ascii="Times New Roman" w:hAnsi="Times New Roman" w:eastAsia="Times New Roman"/>
          <w:sz w:val="18"/>
        </w:rPr>
        <w:t>Table 3. Ablation study of SynGS components.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1620"/>
        <w:gridCol w:w="1620"/>
        <w:gridCol w:w="1620"/>
        <w:gridCol w:w="1620"/>
      </w:tblGrid>
      <w:tr w14:paraId="0F2A7200">
        <w:trPr>
          <w:jc w:val="center"/>
        </w:trPr>
        <w:tc>
          <w:tcPr>
            <w:tcW w:w="1620" w:type="dxa"/>
          </w:tcPr>
          <w:p w14:paraId="3288F797">
            <w:pPr>
              <w:jc w:val="center"/>
            </w:pPr>
            <w:r>
              <w:rPr>
                <w:rFonts w:ascii="Times New Roman" w:hAnsi="Times New Roman" w:eastAsia="Times New Roman"/>
                <w:b/>
                <w:sz w:val="16"/>
              </w:rPr>
              <w:t>Visual Hull Init</w:t>
            </w:r>
          </w:p>
        </w:tc>
        <w:tc>
          <w:tcPr>
            <w:tcW w:w="1620" w:type="dxa"/>
          </w:tcPr>
          <w:p w14:paraId="73EE947E">
            <w:pPr>
              <w:jc w:val="center"/>
            </w:pPr>
            <w:r>
              <w:rPr>
                <w:rFonts w:ascii="Times New Roman" w:hAnsi="Times New Roman" w:eastAsia="Times New Roman"/>
                <w:b/>
                <w:sz w:val="16"/>
              </w:rPr>
              <w:t>Depth Densification</w:t>
            </w:r>
          </w:p>
        </w:tc>
        <w:tc>
          <w:tcPr>
            <w:tcW w:w="1620" w:type="dxa"/>
          </w:tcPr>
          <w:p w14:paraId="2404D057">
            <w:pPr>
              <w:jc w:val="center"/>
            </w:pPr>
            <w:r>
              <w:rPr>
                <w:rFonts w:ascii="Times New Roman" w:hAnsi="Times New Roman" w:eastAsia="Times New Roman"/>
                <w:b/>
                <w:sz w:val="16"/>
              </w:rPr>
              <w:t>Visibility Balancing*</w:t>
            </w:r>
          </w:p>
        </w:tc>
        <w:tc>
          <w:tcPr>
            <w:tcW w:w="1620" w:type="dxa"/>
          </w:tcPr>
          <w:p w14:paraId="41653059">
            <w:pPr>
              <w:jc w:val="center"/>
            </w:pPr>
            <w:r>
              <w:rPr>
                <w:rFonts w:ascii="Times New Roman" w:hAnsi="Times New Roman" w:eastAsia="Times New Roman"/>
                <w:b/>
                <w:sz w:val="16"/>
              </w:rPr>
              <w:t>SSIM↑</w:t>
            </w:r>
          </w:p>
        </w:tc>
        <w:tc>
          <w:tcPr>
            <w:tcW w:w="1620" w:type="dxa"/>
          </w:tcPr>
          <w:p w14:paraId="718E29A8">
            <w:pPr>
              <w:jc w:val="center"/>
            </w:pPr>
            <w:r>
              <w:rPr>
                <w:rFonts w:ascii="Times New Roman" w:hAnsi="Times New Roman" w:eastAsia="Times New Roman"/>
                <w:b/>
                <w:sz w:val="16"/>
              </w:rPr>
              <w:t>PSNR↑</w:t>
            </w:r>
          </w:p>
        </w:tc>
        <w:tc>
          <w:tcPr>
            <w:tcW w:w="1620" w:type="dxa"/>
          </w:tcPr>
          <w:p w14:paraId="489ED1D7">
            <w:pPr>
              <w:jc w:val="center"/>
            </w:pPr>
            <w:r>
              <w:rPr>
                <w:rFonts w:ascii="Times New Roman" w:hAnsi="Times New Roman" w:eastAsia="Times New Roman"/>
                <w:b/>
                <w:sz w:val="16"/>
              </w:rPr>
              <w:t>LPIPS*↓</w:t>
            </w:r>
          </w:p>
        </w:tc>
      </w:tr>
      <w:tr w14:paraId="6B5DA38E">
        <w:trPr>
          <w:jc w:val="center"/>
        </w:trPr>
        <w:tc>
          <w:tcPr>
            <w:tcW w:w="1620" w:type="dxa"/>
          </w:tcPr>
          <w:p w14:paraId="7368A5BE">
            <w:pPr>
              <w:jc w:val="center"/>
            </w:pPr>
            <w:r>
              <w:rPr>
                <w:rFonts w:ascii="Times New Roman" w:hAnsi="Times New Roman" w:eastAsia="Times New Roman"/>
                <w:b w:val="0"/>
                <w:sz w:val="16"/>
              </w:rPr>
              <w:t>√</w:t>
            </w:r>
          </w:p>
        </w:tc>
        <w:tc>
          <w:tcPr>
            <w:tcW w:w="1620" w:type="dxa"/>
          </w:tcPr>
          <w:p w14:paraId="422D4742">
            <w:pPr>
              <w:jc w:val="center"/>
            </w:pPr>
          </w:p>
        </w:tc>
        <w:tc>
          <w:tcPr>
            <w:tcW w:w="1620" w:type="dxa"/>
          </w:tcPr>
          <w:p w14:paraId="2D8C3712">
            <w:pPr>
              <w:jc w:val="center"/>
            </w:pPr>
          </w:p>
        </w:tc>
        <w:tc>
          <w:tcPr>
            <w:tcW w:w="1620" w:type="dxa"/>
          </w:tcPr>
          <w:p w14:paraId="046BB58F">
            <w:pPr>
              <w:jc w:val="center"/>
            </w:pPr>
            <w:r>
              <w:rPr>
                <w:rFonts w:ascii="Times New Roman" w:hAnsi="Times New Roman" w:eastAsia="Times New Roman"/>
                <w:b w:val="0"/>
                <w:sz w:val="16"/>
              </w:rPr>
              <w:t>0.865</w:t>
            </w:r>
          </w:p>
        </w:tc>
        <w:tc>
          <w:tcPr>
            <w:tcW w:w="1620" w:type="dxa"/>
          </w:tcPr>
          <w:p w14:paraId="5B81860B">
            <w:pPr>
              <w:jc w:val="center"/>
            </w:pPr>
            <w:r>
              <w:rPr>
                <w:rFonts w:ascii="Times New Roman" w:hAnsi="Times New Roman" w:eastAsia="Times New Roman"/>
                <w:b w:val="0"/>
                <w:sz w:val="16"/>
              </w:rPr>
              <w:t>17.51</w:t>
            </w:r>
          </w:p>
        </w:tc>
        <w:tc>
          <w:tcPr>
            <w:tcW w:w="1620" w:type="dxa"/>
          </w:tcPr>
          <w:p w14:paraId="7D065D32">
            <w:pPr>
              <w:jc w:val="center"/>
            </w:pPr>
            <w:r>
              <w:rPr>
                <w:rFonts w:ascii="Times New Roman" w:hAnsi="Times New Roman" w:eastAsia="Times New Roman"/>
                <w:b w:val="0"/>
                <w:sz w:val="16"/>
              </w:rPr>
              <w:t>12.80</w:t>
            </w:r>
          </w:p>
        </w:tc>
      </w:tr>
      <w:tr w14:paraId="5CC3D8B1">
        <w:trPr>
          <w:jc w:val="center"/>
        </w:trPr>
        <w:tc>
          <w:tcPr>
            <w:tcW w:w="1620" w:type="dxa"/>
          </w:tcPr>
          <w:p w14:paraId="34E82527">
            <w:pPr>
              <w:jc w:val="center"/>
            </w:pPr>
            <w:r>
              <w:rPr>
                <w:rFonts w:ascii="Times New Roman" w:hAnsi="Times New Roman" w:eastAsia="Times New Roman"/>
                <w:b w:val="0"/>
                <w:sz w:val="16"/>
              </w:rPr>
              <w:t>√</w:t>
            </w:r>
          </w:p>
        </w:tc>
        <w:tc>
          <w:tcPr>
            <w:tcW w:w="1620" w:type="dxa"/>
          </w:tcPr>
          <w:p w14:paraId="6ED9C829">
            <w:pPr>
              <w:jc w:val="center"/>
            </w:pPr>
            <w:r>
              <w:rPr>
                <w:rFonts w:ascii="Times New Roman" w:hAnsi="Times New Roman" w:eastAsia="Times New Roman"/>
                <w:b w:val="0"/>
                <w:sz w:val="16"/>
              </w:rPr>
              <w:t>√</w:t>
            </w:r>
          </w:p>
        </w:tc>
        <w:tc>
          <w:tcPr>
            <w:tcW w:w="1620" w:type="dxa"/>
          </w:tcPr>
          <w:p w14:paraId="57F521ED">
            <w:pPr>
              <w:jc w:val="center"/>
            </w:pPr>
          </w:p>
        </w:tc>
        <w:tc>
          <w:tcPr>
            <w:tcW w:w="1620" w:type="dxa"/>
          </w:tcPr>
          <w:p w14:paraId="375C1F54">
            <w:pPr>
              <w:jc w:val="center"/>
            </w:pPr>
            <w:r>
              <w:rPr>
                <w:rFonts w:ascii="Times New Roman" w:hAnsi="Times New Roman" w:eastAsia="Times New Roman"/>
                <w:b w:val="0"/>
                <w:sz w:val="16"/>
              </w:rPr>
              <w:t>0.902</w:t>
            </w:r>
          </w:p>
        </w:tc>
        <w:tc>
          <w:tcPr>
            <w:tcW w:w="1620" w:type="dxa"/>
          </w:tcPr>
          <w:p w14:paraId="40E34E69">
            <w:pPr>
              <w:jc w:val="center"/>
            </w:pPr>
            <w:r>
              <w:rPr>
                <w:rFonts w:ascii="Times New Roman" w:hAnsi="Times New Roman" w:eastAsia="Times New Roman"/>
                <w:b w:val="0"/>
                <w:sz w:val="16"/>
              </w:rPr>
              <w:t>24.96</w:t>
            </w:r>
          </w:p>
        </w:tc>
        <w:tc>
          <w:tcPr>
            <w:tcW w:w="1620" w:type="dxa"/>
          </w:tcPr>
          <w:p w14:paraId="2FEB8120">
            <w:pPr>
              <w:jc w:val="center"/>
            </w:pPr>
            <w:r>
              <w:rPr>
                <w:rFonts w:ascii="Times New Roman" w:hAnsi="Times New Roman" w:eastAsia="Times New Roman"/>
                <w:b w:val="0"/>
                <w:sz w:val="16"/>
              </w:rPr>
              <w:t>5.20</w:t>
            </w:r>
          </w:p>
        </w:tc>
      </w:tr>
      <w:tr w14:paraId="77B61287">
        <w:trPr>
          <w:jc w:val="center"/>
        </w:trPr>
        <w:tc>
          <w:tcPr>
            <w:tcW w:w="1620" w:type="dxa"/>
          </w:tcPr>
          <w:p w14:paraId="00B0523C">
            <w:pPr>
              <w:jc w:val="center"/>
            </w:pPr>
            <w:r>
              <w:rPr>
                <w:rFonts w:ascii="Times New Roman" w:hAnsi="Times New Roman" w:eastAsia="Times New Roman"/>
                <w:b w:val="0"/>
                <w:sz w:val="16"/>
              </w:rPr>
              <w:t>√</w:t>
            </w:r>
          </w:p>
        </w:tc>
        <w:tc>
          <w:tcPr>
            <w:tcW w:w="1620" w:type="dxa"/>
          </w:tcPr>
          <w:p w14:paraId="5005AEA1">
            <w:pPr>
              <w:jc w:val="center"/>
            </w:pPr>
            <w:r>
              <w:rPr>
                <w:rFonts w:ascii="Times New Roman" w:hAnsi="Times New Roman" w:eastAsia="Times New Roman"/>
                <w:b w:val="0"/>
                <w:sz w:val="16"/>
              </w:rPr>
              <w:t>√</w:t>
            </w:r>
          </w:p>
        </w:tc>
        <w:tc>
          <w:tcPr>
            <w:tcW w:w="1620" w:type="dxa"/>
          </w:tcPr>
          <w:p w14:paraId="266D4ED0">
            <w:pPr>
              <w:jc w:val="center"/>
            </w:pPr>
            <w:r>
              <w:rPr>
                <w:rFonts w:ascii="Times New Roman" w:hAnsi="Times New Roman" w:eastAsia="Times New Roman"/>
                <w:b w:val="0"/>
                <w:sz w:val="16"/>
              </w:rPr>
              <w:t>√</w:t>
            </w:r>
          </w:p>
        </w:tc>
        <w:tc>
          <w:tcPr>
            <w:tcW w:w="1620" w:type="dxa"/>
          </w:tcPr>
          <w:p w14:paraId="325D4BA1">
            <w:pPr>
              <w:jc w:val="center"/>
            </w:pPr>
            <w:r>
              <w:rPr>
                <w:rFonts w:ascii="Times New Roman" w:hAnsi="Times New Roman" w:eastAsia="Times New Roman"/>
                <w:b/>
                <w:sz w:val="16"/>
              </w:rPr>
              <w:t>0.943</w:t>
            </w:r>
          </w:p>
        </w:tc>
        <w:tc>
          <w:tcPr>
            <w:tcW w:w="1620" w:type="dxa"/>
          </w:tcPr>
          <w:p w14:paraId="201E38D1">
            <w:pPr>
              <w:jc w:val="center"/>
            </w:pPr>
            <w:r>
              <w:rPr>
                <w:rFonts w:ascii="Times New Roman" w:hAnsi="Times New Roman" w:eastAsia="Times New Roman"/>
                <w:b/>
                <w:sz w:val="16"/>
              </w:rPr>
              <w:t>26.18</w:t>
            </w:r>
          </w:p>
        </w:tc>
        <w:tc>
          <w:tcPr>
            <w:tcW w:w="1620" w:type="dxa"/>
          </w:tcPr>
          <w:p w14:paraId="2669E48A">
            <w:pPr>
              <w:jc w:val="center"/>
            </w:pPr>
            <w:r>
              <w:rPr>
                <w:rFonts w:ascii="Times New Roman" w:hAnsi="Times New Roman" w:eastAsia="Times New Roman"/>
                <w:b/>
                <w:sz w:val="16"/>
              </w:rPr>
              <w:t>3.98</w:t>
            </w:r>
          </w:p>
        </w:tc>
      </w:tr>
    </w:tbl>
    <w:p w14:paraId="03BDD0D2">
      <w:pPr>
        <w:pStyle w:val="4"/>
        <w:jc w:val="both"/>
      </w:pPr>
      <w:r>
        <w:rPr>
          <w:rFonts w:ascii="Times New Roman" w:hAnsi="Times New Roman" w:eastAsia="Times New Roman"/>
          <w:sz w:val="20"/>
        </w:rPr>
        <w:t>Unlike Table 1, which reports dataset-wide averages, the ablation is a separate protocol and is not the 4-view mean in Table 1.</w:t>
      </w:r>
    </w:p>
    <w:p w14:paraId="0554E5A5">
      <w:pPr>
        <w:pStyle w:val="4"/>
        <w:jc w:val="both"/>
      </w:pPr>
      <w:r>
        <w:rPr>
          <w:rFonts w:ascii="Times New Roman" w:hAnsi="Times New Roman" w:eastAsia="Times New Roman"/>
          <w:sz w:val="20"/>
        </w:rPr>
        <w:t>Visual Hull Initialization establishes the geometric baseline at 17.51 dB PSNR. Adding Depth Densification raises PSNR to 24.96 dB, the largest gain in the ablation. Adding DVR further improves the full configuration to 26.18 dB, with gains in SSIM and LPIPS.</w:t>
      </w:r>
    </w:p>
    <w:p w14:paraId="3BF63C90">
      <w:pPr>
        <w:pStyle w:val="4"/>
        <w:jc w:val="both"/>
      </w:pPr>
      <w:r>
        <w:rPr>
          <w:rFonts w:ascii="Times New Roman" w:hAnsi="Times New Roman" w:eastAsia="Times New Roman"/>
          <w:sz w:val="20"/>
        </w:rPr>
        <w:t>*Visibility Balancing denotes Dynamic Visibility Regularization (DVR).</w:t>
      </w:r>
    </w:p>
    <w:bookmarkEnd w:id="6"/>
    <w:bookmarkEnd w:id="9"/>
    <w:p w14:paraId="23090FC3">
      <w:pPr>
        <w:pStyle w:val="2"/>
      </w:pPr>
      <w:bookmarkStart w:id="10" w:name="_conclusion"/>
      <w:r>
        <w:rPr>
          <w:rFonts w:ascii="Times New Roman" w:hAnsi="Times New Roman" w:eastAsia="Times New Roman"/>
          <w:b/>
          <w:sz w:val="22"/>
        </w:rPr>
        <w:t>CONCLUSION</w:t>
      </w:r>
    </w:p>
    <w:p w14:paraId="1870C48C">
      <w:pPr>
        <w:pStyle w:val="4"/>
        <w:jc w:val="both"/>
      </w:pPr>
      <w:r>
        <w:rPr>
          <w:rFonts w:ascii="Times New Roman" w:hAnsi="Times New Roman" w:eastAsia="Times New Roman"/>
          <w:sz w:val="20"/>
        </w:rPr>
        <w:t xml:space="preserve">We present SynGS for sparse-view 3DGS, combining </w:t>
      </w:r>
      <w:r>
        <w:rPr>
          <w:rFonts w:ascii="Times New Roman" w:hAnsi="Times New Roman" w:eastAsia="Times New Roman"/>
          <w:b/>
          <w:bCs/>
          <w:sz w:val="20"/>
        </w:rPr>
        <w:t>Visual Hull Initialization</w:t>
      </w:r>
      <w:r>
        <w:rPr>
          <w:rFonts w:ascii="Times New Roman" w:hAnsi="Times New Roman" w:eastAsia="Times New Roman"/>
          <w:sz w:val="20"/>
        </w:rPr>
        <w:t xml:space="preserve">, </w:t>
      </w:r>
      <w:r>
        <w:rPr>
          <w:rFonts w:ascii="Times New Roman" w:hAnsi="Times New Roman" w:eastAsia="Times New Roman"/>
          <w:b/>
          <w:bCs/>
          <w:sz w:val="20"/>
        </w:rPr>
        <w:t>VGGT-Guided Densification</w:t>
      </w:r>
      <w:r>
        <w:rPr>
          <w:rFonts w:ascii="Times New Roman" w:hAnsi="Times New Roman" w:eastAsia="Times New Roman"/>
          <w:sz w:val="20"/>
        </w:rPr>
        <w:t xml:space="preserve">, and </w:t>
      </w:r>
      <w:r>
        <w:rPr>
          <w:rFonts w:ascii="Times New Roman" w:hAnsi="Times New Roman" w:eastAsia="Times New Roman"/>
          <w:b/>
          <w:bCs/>
          <w:sz w:val="20"/>
        </w:rPr>
        <w:t>Dynamic Visibility Regularization</w:t>
      </w:r>
      <w:r>
        <w:rPr>
          <w:rFonts w:ascii="Times New Roman" w:hAnsi="Times New Roman" w:eastAsia="Times New Roman"/>
          <w:sz w:val="20"/>
        </w:rPr>
        <w:t xml:space="preserve"> for more reliable initialization, geometry completion, and reduced sparse-view overfitting. On Mip-NeRF 360 and LLFF, SynGS improves novel-view quality under sparse inputs; densification adds memory and compute cost, and more efficient densification without losing quality is left for future work.</w:t>
      </w:r>
    </w:p>
    <w:p w14:paraId="24A96CD5">
      <w:pPr>
        <w:pStyle w:val="39"/>
      </w:pPr>
      <w:r>
        <w:rPr>
          <w:rFonts w:ascii="Times New Roman" w:hAnsi="Times New Roman" w:eastAsia="Times New Roman"/>
          <w:b/>
          <w:sz w:val="22"/>
        </w:rPr>
        <w:t>References</w:t>
      </w:r>
    </w:p>
    <w:p w14:paraId="00E0454F">
      <w:pPr>
        <w:pStyle w:val="40"/>
      </w:pPr>
      <w:r>
        <w:rPr>
          <w:rFonts w:ascii="Times New Roman" w:hAnsi="Times New Roman" w:eastAsia="Times New Roman"/>
          <w:sz w:val="18"/>
        </w:rPr>
        <w:t>Yang, J., Pavone, M., and Wang, Y., “FreeNeRF: Improving few-shot neural rendering with free frequency regularization,” in [Proc. IEEE/CVF Conference on Computer Vision and Pattern Recognition (CVPR)], 8254–8263 (2023). DOI: https://doi.org/10.1109/cvpr52729.2023.00798.</w:t>
      </w:r>
    </w:p>
    <w:p w14:paraId="1FCA0DD1">
      <w:pPr>
        <w:pStyle w:val="40"/>
      </w:pPr>
      <w:r>
        <w:rPr>
          <w:rFonts w:ascii="Times New Roman" w:hAnsi="Times New Roman" w:eastAsia="Times New Roman"/>
          <w:sz w:val="18"/>
        </w:rPr>
        <w:t>Niemeyer, M., Barron, J. T., Mildenhall, B., Sajjadi, M. S. M., Geiger, A., and Radwan, N., “RegNeRF: Regularizing neural radiance fields for view synthesis from sparse inputs,” in [Proc. IEEE/CVF Conference on Computer Vision and Pattern Recognition (CVPR)], 5480–5490 (2022). DOI: https://doi.org/10.1109/cvpr52688.2022.00540.</w:t>
      </w:r>
    </w:p>
    <w:p w14:paraId="6B9C474E">
      <w:pPr>
        <w:pStyle w:val="40"/>
      </w:pPr>
      <w:r>
        <w:rPr>
          <w:rFonts w:ascii="Times New Roman" w:hAnsi="Times New Roman" w:eastAsia="Times New Roman"/>
          <w:sz w:val="18"/>
        </w:rPr>
        <w:t>Kerbl, B., Kopanas, G., Leimkühler, T., and Drettakis, G., “3D gaussian splatting for real-time radiance field rendering,” ACM Transactions on Graphics 42(4), 139:1–139:14 (2023). DOI: https://doi.org/10.1145/3592433.</w:t>
      </w:r>
    </w:p>
    <w:p w14:paraId="219DFBF3">
      <w:pPr>
        <w:pStyle w:val="40"/>
      </w:pPr>
      <w:r>
        <w:rPr>
          <w:rFonts w:ascii="Times New Roman" w:hAnsi="Times New Roman" w:eastAsia="Times New Roman"/>
          <w:sz w:val="18"/>
        </w:rPr>
        <w:t>Lu, T., Yu, M., Xu, L., Xiangli, Y., Wang, L., Lin, D., and Dai, B., “Scaffold-GS: Structured 3D gaussians for view-adaptive rendering,” in [Proc. IEEE/CVF Conference on Computer Vision and Pattern Recognition (CVPR)], 20654–20664 (2024). DOI: https://doi.org/10.1109/cvpr52733.2024.01952.</w:t>
      </w:r>
    </w:p>
    <w:p w14:paraId="39602BF0">
      <w:pPr>
        <w:pStyle w:val="40"/>
      </w:pPr>
      <w:r>
        <w:rPr>
          <w:rFonts w:ascii="Times New Roman" w:hAnsi="Times New Roman" w:eastAsia="Times New Roman"/>
          <w:sz w:val="18"/>
        </w:rPr>
        <w:t>Yu, Z., Chen, A., Huang, B., Sattler, T., and Geiger, A., “Mip-splatting: Alias-free 3D Gaussian splatting,” in [Proc. IEEE/CVF Conference on Computer Vision and Pattern Recognition (CVPR)], 19447–19456 (2024). DOI: https://doi.org/10.1109/cvpr52733.2024.01839.</w:t>
      </w:r>
    </w:p>
    <w:p w14:paraId="4B92463B">
      <w:pPr>
        <w:pStyle w:val="40"/>
      </w:pPr>
      <w:r>
        <w:rPr>
          <w:rFonts w:ascii="Times New Roman" w:hAnsi="Times New Roman" w:eastAsia="Times New Roman"/>
          <w:sz w:val="18"/>
        </w:rPr>
        <w:t>Schönberger, J. L. and Frahm, J.-M., “Structure-from-motion revisited,” in [Proc. IEEE Conference on Computer Vision and Pattern Recognition (CVPR)], 4104–4113 (2016). DOI: https://doi.org/10.1109/cvpr.2016.445.</w:t>
      </w:r>
    </w:p>
    <w:p w14:paraId="65510932">
      <w:pPr>
        <w:pStyle w:val="40"/>
      </w:pPr>
      <w:r>
        <w:rPr>
          <w:rFonts w:ascii="Times New Roman" w:hAnsi="Times New Roman" w:eastAsia="Times New Roman"/>
          <w:sz w:val="18"/>
        </w:rPr>
        <w:t>Chung, J., Oh, J., and Lee, K. M., “Depth-regularized optimization for 3D gaussian splatting in few-shot images,” in [Proc. IEEE/CVF Conference on Computer Vision and Pattern Recognition Workshops (CVPRW)], 811–820 (2024). DOI: https://doi.org/10.1109/cvprw63382.2024.00086.</w:t>
      </w:r>
    </w:p>
    <w:p w14:paraId="1DF06488">
      <w:pPr>
        <w:pStyle w:val="40"/>
      </w:pPr>
      <w:r>
        <w:rPr>
          <w:rFonts w:ascii="Times New Roman" w:hAnsi="Times New Roman" w:eastAsia="Times New Roman"/>
          <w:sz w:val="18"/>
        </w:rPr>
        <w:t>Xu, Y., Wang, L., Chen, M., Ao, S., Li, L., and Guo, Y., “DropoutGS: Dropping out gaussians for better sparse-view rendering,” in [Proc. IEEE/CVF Conference on Computer Vision and Pattern Recognition (CVPR)], 701–710 (2025). DOI: https://doi.org/10.1109/cvpr52734.2025.00074.</w:t>
      </w:r>
    </w:p>
    <w:p w14:paraId="56C48721">
      <w:pPr>
        <w:pStyle w:val="40"/>
      </w:pPr>
      <w:r>
        <w:rPr>
          <w:rFonts w:ascii="Times New Roman" w:hAnsi="Times New Roman" w:eastAsia="Times New Roman"/>
          <w:sz w:val="18"/>
        </w:rPr>
        <w:t>Park, H., Ryu, G., and Kim, W., “DropGaussian: Structural regularization for sparse-view gaussian splatting,” in [Proc. IEEE/CVF Conference on Computer Vision and Pattern Recognition (CVPR)], 21600–21609 (2025). DOI: https://doi.org/10.1109/cvpr52734.2025.02012.</w:t>
      </w:r>
    </w:p>
    <w:p w14:paraId="281F1621">
      <w:pPr>
        <w:pStyle w:val="40"/>
      </w:pPr>
      <w:r>
        <w:rPr>
          <w:rFonts w:ascii="Times New Roman" w:hAnsi="Times New Roman" w:eastAsia="Times New Roman"/>
          <w:sz w:val="18"/>
        </w:rPr>
        <w:t>Somraj, N. and Soundararajan, R., “ViP-NeRF: Visibility prior for sparse input neural radiance fields,” in [Proc. ACM SIGGRAPH Conference], 1–11 (2023). DOI: https://doi.org/10.1145/3588432.3591539.</w:t>
      </w:r>
    </w:p>
    <w:p w14:paraId="4B77B212">
      <w:pPr>
        <w:pStyle w:val="40"/>
      </w:pPr>
      <w:r>
        <w:rPr>
          <w:rFonts w:ascii="Times New Roman" w:hAnsi="Times New Roman" w:eastAsia="Times New Roman"/>
          <w:sz w:val="18"/>
        </w:rPr>
        <w:t>Li, J., Zhang, J., Bai, X., Zheng, J., Ning, X., Zhou, J., and Gu, L., “DNGaussian: Optimizing sparse-view 3D gaussian radiance fields with global-local depth normalization,” in [Proc. IEEE/CVF Conference on Computer Vision and Pattern Recognition (CVPR)], 20775–20785 (2024). DOI: https://doi.org/10.1109/cvpr52733.2024.01963.</w:t>
      </w:r>
    </w:p>
    <w:p w14:paraId="31B511DD">
      <w:pPr>
        <w:pStyle w:val="40"/>
      </w:pPr>
      <w:r>
        <w:rPr>
          <w:rFonts w:ascii="Times New Roman" w:hAnsi="Times New Roman" w:eastAsia="Times New Roman"/>
          <w:sz w:val="18"/>
        </w:rPr>
        <w:t>Zhu, Z., Fan, Z., Jiang, Y., and Wang, Z., “FSGS: Real-time few-shot view synthesis using gaussian splatting,” in [Proc. European Conference on Computer Vision (ECCV)], 145–163 (2024). DOI: https://doi.org/10.1007/978-3-031-72933-1_9.</w:t>
      </w:r>
    </w:p>
    <w:p w14:paraId="5A6325F5">
      <w:pPr>
        <w:pStyle w:val="40"/>
      </w:pPr>
      <w:r>
        <w:rPr>
          <w:rFonts w:ascii="Times New Roman" w:hAnsi="Times New Roman" w:eastAsia="Times New Roman"/>
          <w:sz w:val="18"/>
        </w:rPr>
        <w:t>Zhang, J., Li, J., Yu, X., Huang, L., Gu, L., Zheng, J., and Bai, X., “CoR-GS: Sparse-view 3D gaussian splatting via co-regularization,” in [Proc. European Conference on Computer Vision (ECCV)], 335–352 (2024). DOI: https://doi.org/10.1007/978-3-031-73232-4_19.</w:t>
      </w:r>
    </w:p>
    <w:p w14:paraId="68E9E945">
      <w:pPr>
        <w:pStyle w:val="40"/>
      </w:pPr>
      <w:r>
        <w:rPr>
          <w:rFonts w:ascii="Times New Roman" w:hAnsi="Times New Roman" w:eastAsia="Times New Roman"/>
          <w:sz w:val="18"/>
        </w:rPr>
        <w:t>Mildenhall, B., Srinivasan, P. P., Tancik, M., Barron, J. T., Ramamoorthi, R., and Ng, R., “NeRF: Representing scenes as neural radiance fields for view synthesis,” Communications of the ACM 65(1), 99–106 (2021). DOI: https://doi.org/10.1145/3503250.</w:t>
      </w:r>
    </w:p>
    <w:p w14:paraId="7FC8A46B">
      <w:pPr>
        <w:pStyle w:val="40"/>
      </w:pPr>
      <w:r>
        <w:rPr>
          <w:rFonts w:ascii="Times New Roman" w:hAnsi="Times New Roman" w:eastAsia="Times New Roman"/>
          <w:sz w:val="18"/>
        </w:rPr>
        <w:t>Wang, G., Chen, Z., Loy, C. C., and Liu, Z., “SparseNeRF: Distilling depth ranking for few-shot novel view synthesis,” in [Proc. IEEE/CVF International Conference on Computer Vision (ICCV)], 9031–9042 (2023). DOI: https://doi.org/10.1109/iccv51070.2023.00832.</w:t>
      </w:r>
    </w:p>
    <w:p w14:paraId="2DCFBDB0">
      <w:pPr>
        <w:pStyle w:val="40"/>
      </w:pPr>
      <w:r>
        <w:rPr>
          <w:rFonts w:ascii="Times New Roman" w:hAnsi="Times New Roman" w:eastAsia="Times New Roman"/>
          <w:sz w:val="18"/>
        </w:rPr>
        <w:t>Deng, K., Liu, A., Zhu, J.-Y., and Ramanan, D., “Depth-supervised NeRF: Fewer views and faster training for free,” in [Proc. IEEE/CVF Conference on Computer Vision and Pattern Recognition (CVPR)], 12872–12881 (2022). DOI: https://doi.org/10.1109/cvpr52688.2022.01254.</w:t>
      </w:r>
    </w:p>
    <w:p w14:paraId="1CF4FF0E">
      <w:pPr>
        <w:pStyle w:val="40"/>
      </w:pPr>
      <w:r>
        <w:rPr>
          <w:rFonts w:ascii="Times New Roman" w:hAnsi="Times New Roman" w:eastAsia="Times New Roman"/>
          <w:sz w:val="18"/>
        </w:rPr>
        <w:t>Truong, P., Rakotosaona, M.-J., Manhardt, F., and Tombari, F., “SPARF: Neural radiance fields from sparse and noisy poses,” in [Proc. IEEE/CVF Conference on Computer Vision and Pattern Recognition (CVPR)], 4190–4200 (2023). DOI: https://doi.org/10.1109/cvpr52729.2023.00408.</w:t>
      </w:r>
    </w:p>
    <w:p w14:paraId="38BC973F">
      <w:pPr>
        <w:pStyle w:val="40"/>
      </w:pPr>
      <w:r>
        <w:rPr>
          <w:rFonts w:ascii="Times New Roman" w:hAnsi="Times New Roman" w:eastAsia="Times New Roman"/>
          <w:sz w:val="18"/>
        </w:rPr>
        <w:t>Wu, R., Mildenhall, B., Henzler, P., Park, K., Gao, R., Watson, D., Srinivasan, P. P., Verbin, D., Barron, J. T., Poole, B., and Hoyński, A., “ReconFusion: 3D reconstruction with diffusion priors,” in [Proc. IEEE/CVF Conference on Computer Vision and Pattern Recognition (CVPR)], 21551–21561 (2024). DOI: https://doi.org/10.1109/cvpr52733.2024.02036.</w:t>
      </w:r>
    </w:p>
    <w:p w14:paraId="20A8F68A">
      <w:pPr>
        <w:pStyle w:val="40"/>
      </w:pPr>
      <w:r>
        <w:rPr>
          <w:rFonts w:ascii="Times New Roman" w:hAnsi="Times New Roman" w:eastAsia="Times New Roman"/>
          <w:sz w:val="18"/>
        </w:rPr>
        <w:t>Barron, J. T., Mildenhall, B., Verbin, D., Srinivasan, P. P., and Hedman, P., “Zip-NeRF: Anti-aliased grid-based neural radiance fields,” in [Proc. IEEE/CVF International Conference on Computer Vision (ICCV)], 19697–19705 (2023). DOI: https://doi.org/10.1109/iccv51070.2023.01804.</w:t>
      </w:r>
    </w:p>
    <w:p w14:paraId="039D1946">
      <w:pPr>
        <w:pStyle w:val="40"/>
      </w:pPr>
      <w:r>
        <w:rPr>
          <w:rFonts w:ascii="Times New Roman" w:hAnsi="Times New Roman" w:eastAsia="Times New Roman"/>
          <w:sz w:val="18"/>
        </w:rPr>
        <w:t>Yariv, L., Hedman, P., Reiser, C., Verbin, D., Srinivasan, P. P., Szeliski, R., Barron, J. T., and Mildenhall, B., “BakedSDF: Meshing neural SDFs for real-time view synthesis.” arXiv preprint arXiv:2302.14859 (2023). DOI: https://doi.org/10.1145/3588432.3591536.</w:t>
      </w:r>
    </w:p>
    <w:p w14:paraId="6702C377">
      <w:pPr>
        <w:pStyle w:val="40"/>
      </w:pPr>
      <w:r>
        <w:rPr>
          <w:rFonts w:ascii="Times New Roman" w:hAnsi="Times New Roman" w:eastAsia="Times New Roman"/>
          <w:sz w:val="18"/>
        </w:rPr>
        <w:t>Guédon, A. and Lepetit, V., “SuGaR: Surface-aligned Gaussian splatting for efficient 3D mesh reconstruction and high-quality mesh rendering,” in [Proc. IEEE/CVF Conference on Computer Vision and Pattern Recognition (CVPR)], 5354–5363 (2024). DOI: https://doi.org/10.1109/cvpr52733.2024.00512.</w:t>
      </w:r>
    </w:p>
    <w:p w14:paraId="6D609C5B">
      <w:pPr>
        <w:pStyle w:val="40"/>
      </w:pPr>
      <w:r>
        <w:rPr>
          <w:rFonts w:ascii="Times New Roman" w:hAnsi="Times New Roman" w:eastAsia="Times New Roman"/>
          <w:sz w:val="18"/>
        </w:rPr>
        <w:t>Huang, B., Yu, Z., Chen, A., Geiger, A., and Gao, S., “2D Gaussian splatting for geometrically accurate radiance fields.” arXiv preprint arXiv:2403.17888 (2024). DOI: https://doi.org/10.1145/3641519.3657428.</w:t>
      </w:r>
    </w:p>
    <w:p w14:paraId="6DA40747">
      <w:pPr>
        <w:pStyle w:val="40"/>
      </w:pPr>
      <w:r>
        <w:rPr>
          <w:rFonts w:ascii="Times New Roman" w:hAnsi="Times New Roman" w:eastAsia="Times New Roman"/>
          <w:sz w:val="18"/>
        </w:rPr>
        <w:t>Bao, Z., Liao, G., Zhou, K., Liu, K., Li, Q., and Qiu, G., “LoopSparseGS: Loop-based sparse-view friendly Gaussian splatting,” IEEE Transactions on Image Processing 34, 3889–3902 (2025). DOI: https://doi.org/10.1109/TIP.2025.3574929.</w:t>
      </w:r>
    </w:p>
    <w:p w14:paraId="3398F53F">
      <w:pPr>
        <w:pStyle w:val="40"/>
      </w:pPr>
      <w:r>
        <w:rPr>
          <w:rFonts w:ascii="Times New Roman" w:hAnsi="Times New Roman" w:eastAsia="Times New Roman"/>
          <w:sz w:val="18"/>
        </w:rPr>
        <w:t>Cheng, K., Long, X., Yang, K., Yao, Y., Yin, W., Ma, Y., Wang, W., and Chen, X., “GaussianPro: 3D Gaussian splatting with progressive propagation.” arXiv preprint arXiv:2402.14650 (2024). DOI: https://doi.org/10.48550/arXiv.2402.14650.</w:t>
      </w:r>
    </w:p>
    <w:p w14:paraId="0C6CD3CA">
      <w:pPr>
        <w:pStyle w:val="40"/>
      </w:pPr>
      <w:r>
        <w:rPr>
          <w:rFonts w:ascii="Times New Roman" w:hAnsi="Times New Roman" w:eastAsia="Times New Roman"/>
          <w:sz w:val="18"/>
        </w:rPr>
        <w:t>Zhou, Z., Xiong, Y.-J., Zhang, J.-C., Xia, C.-M., Qiu, X., and Zhan, H., “Gradient-direction-aware density control for 3D Gaussian splatting.” arXiv preprint arXiv:2508.09239 (2025). DOI: https://doi.org/10.48550/arXiv.2508.09239.</w:t>
      </w:r>
    </w:p>
    <w:p w14:paraId="287B63B1">
      <w:pPr>
        <w:pStyle w:val="40"/>
      </w:pPr>
      <w:r>
        <w:rPr>
          <w:rFonts w:ascii="Times New Roman" w:hAnsi="Times New Roman" w:eastAsia="Times New Roman"/>
          <w:sz w:val="18"/>
        </w:rPr>
        <w:t>Zheng, Y., Jiang, Z., He, S., Sun, Y., Dong, J., Zhang, H., and Du, Y., “NexusGS: Sparse view synthesis with epipolar depth priors in 3D Gaussian splatting,” in [Proc. IEEE/CVF Conference on Computer Vision and Pattern Recognition (CVPR)], 26800–26809 (2025). DOI: https://doi.org/10.1109/cvpr52734.2025.02496.</w:t>
      </w:r>
    </w:p>
    <w:p w14:paraId="72C94CA0">
      <w:pPr>
        <w:pStyle w:val="40"/>
      </w:pPr>
      <w:r>
        <w:rPr>
          <w:rFonts w:ascii="Times New Roman" w:hAnsi="Times New Roman" w:eastAsia="Times New Roman"/>
          <w:sz w:val="18"/>
        </w:rPr>
        <w:t>Patle, G., Girgaonkar, N., Somraj, N., and Soundararajan, R., “AD-GS: Alternating densification for sparse-input 3D Gaussian splatting.” arXiv preprint arXiv:2509.11003 (2025). DOI: https://doi.org/10.1145/3757377.3763993.</w:t>
      </w:r>
    </w:p>
    <w:p w14:paraId="732D73C6">
      <w:pPr>
        <w:pStyle w:val="40"/>
      </w:pPr>
      <w:r>
        <w:rPr>
          <w:rFonts w:ascii="Times New Roman" w:hAnsi="Times New Roman" w:eastAsia="Times New Roman"/>
          <w:sz w:val="18"/>
        </w:rPr>
        <w:t>Xiong, H., Muttukuru, S., Upadhyay, R., Chari, P., and Kadambi, A., “SparseGS: Real-time 360° sparse view synthesis using Gaussian splatting,” in [Proc. International Conference on 3D Vision (3DV)], (2025). DOI: https://doi.org/10.1109/3dv66043.2025.00100.</w:t>
      </w:r>
    </w:p>
    <w:p w14:paraId="2B2BA768">
      <w:pPr>
        <w:pStyle w:val="40"/>
      </w:pPr>
      <w:r>
        <w:rPr>
          <w:rFonts w:ascii="Times New Roman" w:hAnsi="Times New Roman" w:eastAsia="Times New Roman"/>
          <w:sz w:val="18"/>
        </w:rPr>
        <w:t>Fang, S., Shen, I.-C., Zhang, X., Wang, Z., Wang, Y., Ding, W., Yu, G., and Igarashi, T., “Dropping anchor and spherical harmonics for sparse-view Gaussian splatting.” arXiv preprint arXiv:2602.20933 (2026). DOI: https://doi.org/10.48550/arXiv.2602.20933.</w:t>
      </w:r>
    </w:p>
    <w:p w14:paraId="66A89BA3">
      <w:pPr>
        <w:pStyle w:val="40"/>
      </w:pPr>
      <w:r>
        <w:rPr>
          <w:rFonts w:ascii="Times New Roman" w:hAnsi="Times New Roman" w:eastAsia="Times New Roman"/>
          <w:sz w:val="18"/>
        </w:rPr>
        <w:t>Wang, S., Leroy, V., Cabon, Y., Chidlovskii, B., and Revaud, J., “DUSt3R: Geometric 3D vision made easy,” in [Proc. IEEE/CVF Conference on Computer Vision and Pattern Recognition (CVPR)], 20697–20709 (2024). DOI: https://doi.org/10.1109/cvpr52733.2024.01956.</w:t>
      </w:r>
    </w:p>
    <w:p w14:paraId="68F376E4">
      <w:pPr>
        <w:pStyle w:val="40"/>
      </w:pPr>
      <w:r>
        <w:rPr>
          <w:rFonts w:ascii="Times New Roman" w:hAnsi="Times New Roman" w:eastAsia="Times New Roman"/>
          <w:sz w:val="18"/>
        </w:rPr>
        <w:t>Fan, Z., Cong, W., Wen, K., Wang, K., Zhang, J., Ding, X., Xu, D., Ivanovic, B., Pavone, M., Pavlakos, G., Wang, Z., and Wang, Y., “InstantSplat: Sparse-view Gaussian splatting in seconds.” arXiv preprint arXiv:2403.20309 (2024). DOI: https://doi.org/10.48550/arXiv.2403.20309.</w:t>
      </w:r>
    </w:p>
    <w:p w14:paraId="6804AB97">
      <w:pPr>
        <w:pStyle w:val="40"/>
      </w:pPr>
      <w:r>
        <w:rPr>
          <w:rFonts w:ascii="Times New Roman" w:hAnsi="Times New Roman" w:eastAsia="Times New Roman"/>
          <w:sz w:val="18"/>
        </w:rPr>
        <w:t>Charatan, D., Li, S. L., Tagliasacchi, A., and Sitzmann, V., “pixelSplat: 3D Gaussian splats from image pairs for scalable generalizable 3D reconstruction,” in [Proc. IEEE/CVF Conference on Computer Vision and Pattern Recognition (CVPR)], 19457–19467 (2024). DOI: https://doi.org/10.1109/cvpr52733.2024.01840.</w:t>
      </w:r>
    </w:p>
    <w:p w14:paraId="24DEDB95">
      <w:pPr>
        <w:pStyle w:val="40"/>
      </w:pPr>
      <w:r>
        <w:rPr>
          <w:rFonts w:ascii="Times New Roman" w:hAnsi="Times New Roman" w:eastAsia="Times New Roman"/>
          <w:sz w:val="18"/>
        </w:rPr>
        <w:t>Chen, Y., Xu, H., Zheng, C., Zhuang, B., Pollefeys, M., Geiger, A., Cham, T.-J., and Cai, J., “MVSplat: Efficient 3D Gaussian splatting from sparse multi-view images,” in [Proc. European Conference on Computer Vision (ECCV)], 370–381 (2024). DOI: https://doi.org/10.1007/978-3-031-72664-4_21.</w:t>
      </w:r>
    </w:p>
    <w:p w14:paraId="39E6914A">
      <w:pPr>
        <w:pStyle w:val="40"/>
      </w:pPr>
      <w:r>
        <w:rPr>
          <w:rFonts w:ascii="Times New Roman" w:hAnsi="Times New Roman" w:eastAsia="Times New Roman"/>
          <w:sz w:val="18"/>
        </w:rPr>
        <w:t>Cao, C., Ren, X., and Fu, Y., “MVSFormer++: Revealing the devil in transformer’s details for multi-view stereo.” arXiv preprint arXiv:2401.11673 (2024). DOI: https://doi.org/10.48550/arXiv.2401.11673.</w:t>
      </w:r>
    </w:p>
    <w:p w14:paraId="2D6B5845">
      <w:pPr>
        <w:pStyle w:val="40"/>
      </w:pPr>
      <w:r>
        <w:rPr>
          <w:rFonts w:ascii="Times New Roman" w:hAnsi="Times New Roman" w:eastAsia="Times New Roman"/>
          <w:sz w:val="18"/>
        </w:rPr>
        <w:t>Yang, L., Kang, B., Huang, Z., Zhao, Z., Xu, X., Feng, J., and Zhao, H., “Depth anything V2,” in [Advances in Neural Information Processing Systems (NeurIPS)], 37, 21875–21911 (2024). DOI: https://doi.org/10.52202/079017-0688.</w:t>
      </w:r>
    </w:p>
    <w:p w14:paraId="52FEC4C5">
      <w:pPr>
        <w:pStyle w:val="40"/>
      </w:pPr>
      <w:r>
        <w:rPr>
          <w:rFonts w:ascii="Times New Roman" w:hAnsi="Times New Roman" w:eastAsia="Times New Roman"/>
          <w:sz w:val="18"/>
        </w:rPr>
        <w:t>Wang, R., Xu, S., Dai, C., Xiang, J., Deng, Y., Tong, X., and Yang, J., “MoGe: Unlocking accurate monocular geometry estimation for open-domain images with optimal training supervision.” arXiv preprint arXiv:2410.19115 (2024). DOI: https://doi.org/10.1109/cvpr52734.2025.00496.</w:t>
      </w:r>
    </w:p>
    <w:p w14:paraId="3D752EB5">
      <w:pPr>
        <w:pStyle w:val="40"/>
      </w:pPr>
      <w:r>
        <w:rPr>
          <w:rFonts w:ascii="Times New Roman" w:hAnsi="Times New Roman" w:eastAsia="Times New Roman"/>
          <w:sz w:val="18"/>
        </w:rPr>
        <w:t>Wang, J., Chen, M., Karaev, N., Vedaldi, A., Rupprecht, C., and Novotny, D., “VGGT: Visual geometry grounded transformer,” in [Proc. IEEE/CVF Conference on Computer Vision and Pattern Recognition (CVPR)], 5294–5306 (2025). DOI: https://doi.org/10.1109/cvpr52734.2025.00499.</w:t>
      </w:r>
    </w:p>
    <w:p w14:paraId="2C2E2012">
      <w:pPr>
        <w:pStyle w:val="40"/>
      </w:pPr>
      <w:r>
        <w:rPr>
          <w:rFonts w:ascii="Times New Roman" w:hAnsi="Times New Roman" w:eastAsia="Times New Roman"/>
          <w:sz w:val="18"/>
        </w:rPr>
        <w:t>Li, J., Wen, Z., Zhang, L., Hu, J., Hou, F., Zhang, Z., and He, Y., “GS-Octree: Octree-based 3D Gaussian splatting for robust object-level 3D reconstruction under strong lighting.” arXiv preprint arXiv:2406.18199 (2024). DOI: https://doi.org/10.1111/cgf.15206.</w:t>
      </w:r>
    </w:p>
    <w:p w14:paraId="0DEDBE5D">
      <w:pPr>
        <w:pStyle w:val="40"/>
      </w:pPr>
      <w:r>
        <w:rPr>
          <w:rFonts w:ascii="Times New Roman" w:hAnsi="Times New Roman" w:eastAsia="Times New Roman"/>
          <w:sz w:val="18"/>
        </w:rPr>
        <w:t>Laurentini, A., “The visual hull concept for silhouette-based image understanding,” IEEE Transactions on Pattern Analysis and Machine Intelligence 16(2), 150–162 (1994). DOI: https://doi.org/10.1109/34.273735.</w:t>
      </w:r>
    </w:p>
    <w:p w14:paraId="48703A31">
      <w:pPr>
        <w:pStyle w:val="40"/>
      </w:pPr>
      <w:r>
        <w:rPr>
          <w:rFonts w:ascii="Times New Roman" w:hAnsi="Times New Roman" w:eastAsia="Times New Roman"/>
          <w:sz w:val="18"/>
        </w:rPr>
        <w:t>Zhang, B., Fang, C., Shrestha, R., Liang, Y., Long, X., and Tan, P., “RaDe-GS: Rasterizing depth in Gaussian splatting.” arXiv preprint arXiv:2406.01467 (2024). DOI: https://doi.org/10.1145/3789201.</w:t>
      </w:r>
    </w:p>
    <w:p w14:paraId="39192D25">
      <w:pPr>
        <w:pStyle w:val="40"/>
      </w:pPr>
      <w:r>
        <w:rPr>
          <w:rFonts w:ascii="Times New Roman" w:hAnsi="Times New Roman" w:eastAsia="Times New Roman"/>
          <w:sz w:val="18"/>
        </w:rPr>
        <w:t>Sabour, S., Goli, L., Kopanas, G., Matthews, M., Lagun, D., Guibas, L., Jacobson, A., Fleet, D. J., and Tagliasacchi, A., “SpotlessSplats: Ignoring distractors in 3D Gaussian splatting.” arXiv preprint arXiv:2406.20055 (2024). DOI: https://doi.org/10.1145/3727143.</w:t>
      </w:r>
    </w:p>
    <w:p w14:paraId="56602EE7">
      <w:pPr>
        <w:pStyle w:val="40"/>
      </w:pPr>
      <w:r>
        <w:rPr>
          <w:rFonts w:ascii="Times New Roman" w:hAnsi="Times New Roman" w:eastAsia="Times New Roman"/>
          <w:sz w:val="18"/>
        </w:rPr>
        <w:t>Kheradmand, S., Rebain, D., Sharma, G., Sun, W., Tseng, J., Isack, H., Kar, A., Tagliasacchi, A., and Yi, K. M., “3D Gaussian splatting as markov chain monte carlo.” arXiv preprint arXiv:2404.09591 (2024). DOI: https://doi.org/10.52202/079017-2573.</w:t>
      </w:r>
    </w:p>
    <w:p w14:paraId="551D6195">
      <w:pPr>
        <w:pStyle w:val="40"/>
      </w:pPr>
      <w:r>
        <w:rPr>
          <w:rFonts w:ascii="Times New Roman" w:hAnsi="Times New Roman" w:eastAsia="Times New Roman"/>
          <w:sz w:val="18"/>
        </w:rPr>
        <w:t>Fang, G. and Wang, B., “Mini-splatting: Representing scenes with a constrained number of gaussians.” arXiv preprint arXiv:2403.14166 (2024). DOI: https://doi.org/10.1007/978-3-031-72980-5_10.</w:t>
      </w:r>
    </w:p>
    <w:p w14:paraId="724B218E">
      <w:pPr>
        <w:pStyle w:val="40"/>
      </w:pPr>
      <w:r>
        <w:rPr>
          <w:rFonts w:ascii="Times New Roman" w:hAnsi="Times New Roman" w:eastAsia="Times New Roman"/>
          <w:sz w:val="18"/>
        </w:rPr>
        <w:t>Song, M., Lin, X., Zhang, D., Li, H., Li, X., Du, B., and Qi, L., “D2GS: Depth-and-density guided gaussian splatting for stable and accurate sparse-view reconstruction.” arXiv preprint arXiv:2510.08566 (2025). DOI: https://doi.org/10.48550/arXiv.2510.08566.</w:t>
      </w:r>
    </w:p>
    <w:p w14:paraId="369948E2">
      <w:pPr>
        <w:pStyle w:val="40"/>
      </w:pPr>
      <w:r>
        <w:rPr>
          <w:rFonts w:ascii="Times New Roman" w:hAnsi="Times New Roman" w:eastAsia="Times New Roman"/>
          <w:sz w:val="18"/>
        </w:rPr>
        <w:t>Barron, J. T., Mildenhall, B., Verbin, D., Srinivasan, P. P., and Hedman, P., “Mip-NeRF 360: Unbounded anti-aliased neural radiance fields,” in [Proc. IEEE/CVF Conference on Computer Vision and Pattern Recognition (CVPR)], 5460–5469 (2022). DOI: https://doi.org/10.1109/cvpr52688.2022.00539.</w:t>
      </w:r>
    </w:p>
    <w:p w14:paraId="400FEA2A">
      <w:pPr>
        <w:pStyle w:val="40"/>
      </w:pPr>
      <w:r>
        <w:rPr>
          <w:rFonts w:ascii="Times New Roman" w:hAnsi="Times New Roman" w:eastAsia="Times New Roman"/>
          <w:sz w:val="18"/>
        </w:rPr>
        <w:t>Mildenhall, B., Srinivasan, P. P., Ortiz-Cayon, R., Kalantari, N. K., Ramamoorthi, R., Ng, R., and Kar, A., “Local light field fusion: Practical view synthesis with prescriptive sampling guidelines,” ACM Transactions on Graphics 38(4), 29:1–29:14 (2019). DOI: https://doi.org/10.1145/3306346.3322980.</w:t>
      </w:r>
    </w:p>
    <w:bookmarkEnd w:id="10"/>
    <w:sectPr>
      <w:headerReference r:id="rId3" w:type="default"/>
      <w:footerReference r:id="rId4" w:type="default"/>
      <w:pgSz w:w="11906" w:h="16838"/>
      <w:pgMar w:top="1440" w:right="1094" w:bottom="2801" w:left="1094" w:header="0" w:footer="0" w:gutter="0"/>
      <w:paperSrc w:first="15" w:other="1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NewsGoth BT">
    <w:altName w:val="苹方-简"/>
    <w:panose1 w:val="00000000000000000000"/>
    <w:charset w:val="00"/>
    <w:family w:val="swiss"/>
    <w:pitch w:val="default"/>
    <w:sig w:usb0="00000000" w:usb1="00000000" w:usb2="00000000" w:usb3="00000000" w:csb0="0000001B"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swiss"/>
    <w:pitch w:val="default"/>
    <w:sig w:usb0="E1002AFF" w:usb1="C000605B" w:usb2="00000029" w:usb3="00000000" w:csb0="200101FF" w:csb1="20280000"/>
  </w:font>
  <w:font w:name="Yu Gothic Light">
    <w:altName w:val="Hiragino Sans"/>
    <w:panose1 w:val="020B0300000000000000"/>
    <w:charset w:val="80"/>
    <w:family w:val="swiss"/>
    <w:pitch w:val="default"/>
    <w:sig w:usb0="00000000" w:usb1="00000000" w:usb2="00000016" w:usb3="00000000" w:csb0="0002009F"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CD79">
    <w:pPr>
      <w:pStyle w:val="10"/>
      <w:tabs>
        <w:tab w:val="left" w:pos="2076"/>
        <w:tab w:val="clear" w:pos="4320"/>
        <w:tab w:val="clear" w:pos="8640"/>
      </w:tabs>
      <w:rPr>
        <w:sz w:val="18"/>
        <w:szCs w:val="18"/>
      </w:rPr>
    </w:pPr>
  </w:p>
  <w:p w14:paraId="1A5E9E7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5726">
    <w:pPr>
      <w:pStyle w:val="11"/>
    </w:pPr>
  </w:p>
  <w:p w14:paraId="0F2D36E8">
    <w:pPr>
      <w:pStyle w:val="11"/>
    </w:pPr>
  </w:p>
  <w:p w14:paraId="54A01D8C">
    <w:pPr>
      <w:pStyle w:val="44"/>
    </w:pPr>
  </w:p>
  <w:p w14:paraId="1D9A77B3">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FF85103"/>
    <w:multiLevelType w:val="multilevel"/>
    <w:tmpl w:val="0FF85103"/>
    <w:lvl w:ilvl="0" w:tentative="0">
      <w:start w:val="1"/>
      <w:numFmt w:val="bullet"/>
      <w:pStyle w:val="47"/>
      <w:lvlText w:val=""/>
      <w:lvlJc w:val="left"/>
      <w:pPr>
        <w:tabs>
          <w:tab w:val="left" w:pos="720"/>
        </w:tabs>
        <w:ind w:left="720"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3087D39"/>
    <w:multiLevelType w:val="multilevel"/>
    <w:tmpl w:val="33087D39"/>
    <w:lvl w:ilvl="0" w:tentative="0">
      <w:start w:val="1"/>
      <w:numFmt w:val="decimal"/>
      <w:pStyle w:val="2"/>
      <w:isLgl/>
      <w:lvlText w:val="%1."/>
      <w:lvlJc w:val="left"/>
      <w:pPr>
        <w:tabs>
          <w:tab w:val="left" w:pos="360"/>
        </w:tabs>
        <w:ind w:left="360" w:hanging="360"/>
      </w:pPr>
      <w:rPr>
        <w:rFonts w:hint="default"/>
      </w:rPr>
    </w:lvl>
    <w:lvl w:ilvl="1" w:tentative="0">
      <w:start w:val="1"/>
      <w:numFmt w:val="decimal"/>
      <w:isLgl/>
      <w:lvlText w:val="%1.%2"/>
      <w:lvlJc w:val="left"/>
      <w:pPr>
        <w:tabs>
          <w:tab w:val="left" w:pos="360"/>
        </w:tabs>
        <w:ind w:left="360" w:hanging="360"/>
      </w:pPr>
      <w:rPr>
        <w:rFonts w:hint="default"/>
      </w:rPr>
    </w:lvl>
    <w:lvl w:ilvl="2" w:tentative="0">
      <w:start w:val="1"/>
      <w:numFmt w:val="decimal"/>
      <w:isLgl/>
      <w:lvlText w:val="%1.%2.%3"/>
      <w:lvlJc w:val="left"/>
      <w:pPr>
        <w:tabs>
          <w:tab w:val="left" w:pos="360"/>
        </w:tabs>
        <w:ind w:left="360" w:hanging="360"/>
      </w:pPr>
      <w:rPr>
        <w:rFonts w:hint="default"/>
      </w:rPr>
    </w:lvl>
    <w:lvl w:ilvl="3" w:tentative="0">
      <w:start w:val="1"/>
      <w:numFmt w:val="decimal"/>
      <w:isLgl/>
      <w:lvlText w:val="%1.%2.%3.%4"/>
      <w:lvlJc w:val="left"/>
      <w:pPr>
        <w:tabs>
          <w:tab w:val="left" w:pos="720"/>
        </w:tabs>
        <w:ind w:left="720" w:hanging="720"/>
      </w:pPr>
      <w:rPr>
        <w:rFonts w:hint="default"/>
      </w:rPr>
    </w:lvl>
    <w:lvl w:ilvl="4" w:tentative="0">
      <w:start w:val="1"/>
      <w:numFmt w:val="decimal"/>
      <w:isLgl/>
      <w:lvlText w:val="%1.%2.%3.%4.%5"/>
      <w:lvlJc w:val="left"/>
      <w:pPr>
        <w:tabs>
          <w:tab w:val="left" w:pos="720"/>
        </w:tabs>
        <w:ind w:left="720" w:hanging="720"/>
      </w:pPr>
      <w:rPr>
        <w:rFonts w:hint="default"/>
      </w:rPr>
    </w:lvl>
    <w:lvl w:ilvl="5" w:tentative="0">
      <w:start w:val="1"/>
      <w:numFmt w:val="decimal"/>
      <w:isLgl/>
      <w:lvlText w:val="%1.%2.%3.%4.%5.%6"/>
      <w:lvlJc w:val="left"/>
      <w:pPr>
        <w:tabs>
          <w:tab w:val="left" w:pos="1080"/>
        </w:tabs>
        <w:ind w:left="1080" w:hanging="1080"/>
      </w:pPr>
      <w:rPr>
        <w:rFonts w:hint="default"/>
      </w:rPr>
    </w:lvl>
    <w:lvl w:ilvl="6" w:tentative="0">
      <w:start w:val="1"/>
      <w:numFmt w:val="decimal"/>
      <w:isLgl/>
      <w:lvlText w:val="%1.%2.%3.%4.%5.%6.%7"/>
      <w:lvlJc w:val="left"/>
      <w:pPr>
        <w:tabs>
          <w:tab w:val="left" w:pos="1080"/>
        </w:tabs>
        <w:ind w:left="1080" w:hanging="1080"/>
      </w:pPr>
      <w:rPr>
        <w:rFonts w:hint="default"/>
      </w:rPr>
    </w:lvl>
    <w:lvl w:ilvl="7" w:tentative="0">
      <w:start w:val="1"/>
      <w:numFmt w:val="decimal"/>
      <w:isLgl/>
      <w:lvlText w:val="%1.%2.%3.%4.%5.%6.%7.%8"/>
      <w:lvlJc w:val="left"/>
      <w:pPr>
        <w:tabs>
          <w:tab w:val="left" w:pos="1080"/>
        </w:tabs>
        <w:ind w:left="1080" w:hanging="1080"/>
      </w:pPr>
      <w:rPr>
        <w:rFonts w:hint="default"/>
      </w:rPr>
    </w:lvl>
    <w:lvl w:ilvl="8" w:tentative="0">
      <w:start w:val="1"/>
      <w:numFmt w:val="decimal"/>
      <w:isLgl/>
      <w:lvlText w:val="%1.%2.%3.%4.%5.%6.%7.%8.%9"/>
      <w:lvlJc w:val="left"/>
      <w:pPr>
        <w:tabs>
          <w:tab w:val="left" w:pos="1440"/>
        </w:tabs>
        <w:ind w:left="1440" w:hanging="1440"/>
      </w:pPr>
      <w:rPr>
        <w:rFonts w:hint="default"/>
      </w:rPr>
    </w:lvl>
  </w:abstractNum>
  <w:abstractNum w:abstractNumId="3">
    <w:nsid w:val="3D6A4DF8"/>
    <w:multiLevelType w:val="multilevel"/>
    <w:tmpl w:val="3D6A4DF8"/>
    <w:lvl w:ilvl="0" w:tentative="0">
      <w:start w:val="1"/>
      <w:numFmt w:val="decimal"/>
      <w:pStyle w:val="40"/>
      <w:lvlText w:val="[%1]"/>
      <w:lvlJc w:val="left"/>
      <w:pPr>
        <w:tabs>
          <w:tab w:val="left" w:pos="36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4F81461"/>
    <w:multiLevelType w:val="multilevel"/>
    <w:tmpl w:val="74F81461"/>
    <w:lvl w:ilvl="0" w:tentative="0">
      <w:start w:val="1"/>
      <w:numFmt w:val="decimal"/>
      <w:pStyle w:val="56"/>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1"/>
  <w:bordersDoNotSurroundFooter w:val="1"/>
  <w:gutterAtTop/>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oNotTrackMoves/>
  <w:documentProtection w:enforcement="0"/>
  <w:defaultTabStop w:val="720"/>
  <w:drawingGridHorizontalSpacing w:val="360"/>
  <w:drawingGridVerticalSpacing w:val="360"/>
  <w:displayHorizontalDrawingGridEvery w:val="0"/>
  <w:displayVerticalDrawingGridEvery w:val="0"/>
  <w:noPunctuationKerning w:val="1"/>
  <w:characterSpacingControl w:val="doNotCompress"/>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 w:val="57FE7CA4"/>
    <w:rsid w:val="78BFCE2F"/>
    <w:rsid w:val="7ADE5DF6"/>
    <w:rsid w:val="7D77BBEB"/>
    <w:rsid w:val="BBFC417D"/>
    <w:rsid w:val="FDA72F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szCs w:val="24"/>
      <w:lang w:val="en-US" w:eastAsia="en-US" w:bidi="ar-SA"/>
    </w:rPr>
  </w:style>
  <w:style w:type="paragraph" w:styleId="2">
    <w:name w:val="heading 1"/>
    <w:basedOn w:val="1"/>
    <w:next w:val="1"/>
    <w:autoRedefine/>
    <w:qFormat/>
    <w:uiPriority w:val="0"/>
    <w:pPr>
      <w:keepNext/>
      <w:numPr>
        <w:ilvl w:val="0"/>
        <w:numId w:val="1"/>
      </w:numPr>
      <w:spacing w:before="240" w:after="120"/>
      <w:jc w:val="center"/>
      <w:outlineLvl w:val="0"/>
    </w:pPr>
    <w:rPr>
      <w:rFonts w:cs="Arial"/>
      <w:b/>
      <w:bCs/>
      <w:caps/>
      <w:kern w:val="32"/>
      <w:sz w:val="22"/>
    </w:rPr>
  </w:style>
  <w:style w:type="paragraph" w:styleId="3">
    <w:name w:val="heading 2"/>
    <w:basedOn w:val="2"/>
    <w:next w:val="4"/>
    <w:autoRedefine/>
    <w:qFormat/>
    <w:uiPriority w:val="0"/>
    <w:pPr>
      <w:numPr>
        <w:numId w:val="0"/>
      </w:numPr>
      <w:tabs>
        <w:tab w:val="left" w:pos="504"/>
        <w:tab w:val="left" w:pos="4140"/>
      </w:tabs>
      <w:spacing w:before="0"/>
      <w:jc w:val="both"/>
      <w:outlineLvl w:val="1"/>
    </w:pPr>
    <w:rPr>
      <w:bCs w:val="0"/>
      <w:caps w:val="0"/>
      <w:sz w:val="20"/>
      <w:szCs w:val="20"/>
    </w:rPr>
  </w:style>
  <w:style w:type="paragraph" w:styleId="5">
    <w:name w:val="heading 3"/>
    <w:basedOn w:val="1"/>
    <w:next w:val="1"/>
    <w:qFormat/>
    <w:uiPriority w:val="0"/>
    <w:pPr>
      <w:keepNext/>
      <w:outlineLvl w:val="2"/>
    </w:pPr>
    <w:rPr>
      <w:rFonts w:ascii="Times" w:hAnsi="Times"/>
      <w:b/>
      <w:sz w:val="22"/>
      <w:szCs w:val="20"/>
    </w:rPr>
  </w:style>
  <w:style w:type="paragraph" w:styleId="6">
    <w:name w:val="heading 4"/>
    <w:basedOn w:val="1"/>
    <w:next w:val="1"/>
    <w:qFormat/>
    <w:uiPriority w:val="0"/>
    <w:pPr>
      <w:keepNext/>
      <w:spacing w:before="240" w:after="60"/>
      <w:outlineLvl w:val="3"/>
    </w:pPr>
    <w:rPr>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customStyle="1" w:styleId="4">
    <w:name w:val="SPIE body text"/>
    <w:basedOn w:val="1"/>
    <w:link w:val="35"/>
    <w:uiPriority w:val="0"/>
    <w:pPr>
      <w:spacing w:after="120"/>
      <w:jc w:val="both"/>
    </w:pPr>
  </w:style>
  <w:style w:type="paragraph" w:styleId="7">
    <w:name w:val="annotation text"/>
    <w:basedOn w:val="1"/>
    <w:semiHidden/>
    <w:uiPriority w:val="0"/>
    <w:rPr>
      <w:szCs w:val="20"/>
    </w:rPr>
  </w:style>
  <w:style w:type="paragraph" w:styleId="8">
    <w:name w:val="Body Text"/>
    <w:basedOn w:val="1"/>
    <w:semiHidden/>
    <w:uiPriority w:val="0"/>
    <w:rPr>
      <w:rFonts w:ascii="NewsGoth BT" w:hAnsi="NewsGoth BT"/>
      <w:szCs w:val="20"/>
    </w:rPr>
  </w:style>
  <w:style w:type="paragraph" w:styleId="9">
    <w:name w:val="Balloon Text"/>
    <w:basedOn w:val="1"/>
    <w:semiHidden/>
    <w:uiPriority w:val="0"/>
    <w:rPr>
      <w:rFonts w:ascii="Tahoma" w:hAnsi="Tahoma" w:cs="Tahoma"/>
      <w:sz w:val="16"/>
      <w:szCs w:val="16"/>
    </w:rPr>
  </w:style>
  <w:style w:type="paragraph" w:styleId="10">
    <w:name w:val="footer"/>
    <w:basedOn w:val="1"/>
    <w:link w:val="53"/>
    <w:uiPriority w:val="99"/>
    <w:pPr>
      <w:tabs>
        <w:tab w:val="center" w:pos="4320"/>
        <w:tab w:val="right" w:pos="8640"/>
      </w:tabs>
    </w:pPr>
  </w:style>
  <w:style w:type="paragraph" w:styleId="11">
    <w:name w:val="header"/>
    <w:basedOn w:val="1"/>
    <w:semiHidden/>
    <w:uiPriority w:val="0"/>
    <w:pPr>
      <w:tabs>
        <w:tab w:val="center" w:pos="4320"/>
        <w:tab w:val="right" w:pos="8640"/>
      </w:tabs>
    </w:pPr>
    <w:rPr>
      <w:rFonts w:ascii="Times" w:hAnsi="Times"/>
      <w:szCs w:val="20"/>
    </w:rPr>
  </w:style>
  <w:style w:type="paragraph" w:styleId="12">
    <w:name w:val="Subtitle"/>
    <w:basedOn w:val="1"/>
    <w:next w:val="1"/>
    <w:link w:val="55"/>
    <w:qFormat/>
    <w:uiPriority w:val="0"/>
    <w:pPr>
      <w:spacing w:after="60"/>
      <w:ind w:left="720"/>
      <w:outlineLvl w:val="1"/>
    </w:pPr>
    <w:rPr>
      <w:rFonts w:eastAsia="Yu Gothic Light"/>
      <w:sz w:val="18"/>
    </w:rPr>
  </w:style>
  <w:style w:type="paragraph" w:styleId="13">
    <w:name w:val="Title"/>
    <w:basedOn w:val="1"/>
    <w:next w:val="1"/>
    <w:link w:val="57"/>
    <w:qFormat/>
    <w:uiPriority w:val="0"/>
    <w:pPr>
      <w:spacing w:before="240" w:after="60"/>
      <w:jc w:val="center"/>
      <w:outlineLvl w:val="0"/>
    </w:pPr>
    <w:rPr>
      <w:rFonts w:eastAsia="Yu Gothic Light"/>
      <w:b/>
      <w:bCs/>
      <w:kern w:val="28"/>
      <w:sz w:val="32"/>
      <w:szCs w:val="32"/>
    </w:rPr>
  </w:style>
  <w:style w:type="paragraph" w:styleId="14">
    <w:name w:val="annotation subject"/>
    <w:basedOn w:val="7"/>
    <w:next w:val="7"/>
    <w:semiHidden/>
    <w:uiPriority w:val="0"/>
    <w:rPr>
      <w:b/>
      <w:bCs/>
    </w:rPr>
  </w:style>
  <w:style w:type="character" w:styleId="17">
    <w:name w:val="Strong"/>
    <w:qFormat/>
    <w:uiPriority w:val="0"/>
    <w:rPr>
      <w:b/>
      <w:bCs/>
    </w:rPr>
  </w:style>
  <w:style w:type="character" w:styleId="18">
    <w:name w:val="Hyperlink"/>
    <w:uiPriority w:val="0"/>
    <w:rPr>
      <w:color w:val="0000FF"/>
      <w:u w:val="single"/>
    </w:rPr>
  </w:style>
  <w:style w:type="character" w:styleId="19">
    <w:name w:val="annotation reference"/>
    <w:semiHidden/>
    <w:uiPriority w:val="0"/>
    <w:rPr>
      <w:sz w:val="16"/>
      <w:szCs w:val="16"/>
    </w:rPr>
  </w:style>
  <w:style w:type="paragraph" w:customStyle="1" w:styleId="20">
    <w:name w:val="*Paper Title*"/>
    <w:basedOn w:val="1"/>
    <w:next w:val="21"/>
    <w:link w:val="23"/>
    <w:semiHidden/>
    <w:uiPriority w:val="0"/>
    <w:pPr>
      <w:jc w:val="center"/>
    </w:pPr>
    <w:rPr>
      <w:b/>
      <w:sz w:val="32"/>
      <w:szCs w:val="20"/>
    </w:rPr>
  </w:style>
  <w:style w:type="paragraph" w:customStyle="1" w:styleId="21">
    <w:name w:val="*Body of Paper*"/>
    <w:basedOn w:val="1"/>
    <w:link w:val="22"/>
    <w:uiPriority w:val="0"/>
    <w:pPr>
      <w:jc w:val="both"/>
    </w:pPr>
    <w:rPr>
      <w:szCs w:val="20"/>
    </w:rPr>
  </w:style>
  <w:style w:type="character" w:customStyle="1" w:styleId="22">
    <w:name w:val="*Body of Paper* Char"/>
    <w:link w:val="21"/>
    <w:uiPriority w:val="0"/>
    <w:rPr>
      <w:lang w:val="en-US" w:eastAsia="en-US" w:bidi="ar-SA"/>
    </w:rPr>
  </w:style>
  <w:style w:type="character" w:customStyle="1" w:styleId="23">
    <w:name w:val="*Paper Title* Char"/>
    <w:link w:val="20"/>
    <w:uiPriority w:val="0"/>
    <w:rPr>
      <w:b/>
      <w:sz w:val="32"/>
      <w:lang w:val="en-US" w:eastAsia="en-US" w:bidi="ar-SA"/>
    </w:rPr>
  </w:style>
  <w:style w:type="paragraph" w:customStyle="1" w:styleId="24">
    <w:name w:val="SPIE Authors-Affils"/>
    <w:basedOn w:val="21"/>
    <w:next w:val="21"/>
    <w:link w:val="25"/>
    <w:uiPriority w:val="0"/>
    <w:pPr>
      <w:jc w:val="center"/>
    </w:pPr>
    <w:rPr>
      <w:sz w:val="24"/>
    </w:rPr>
  </w:style>
  <w:style w:type="character" w:customStyle="1" w:styleId="25">
    <w:name w:val="SPIE Authors-Affils Char Char"/>
    <w:link w:val="24"/>
    <w:uiPriority w:val="0"/>
    <w:rPr>
      <w:sz w:val="24"/>
      <w:lang w:val="en-US" w:eastAsia="en-US" w:bidi="ar-SA"/>
    </w:rPr>
  </w:style>
  <w:style w:type="paragraph" w:customStyle="1" w:styleId="26">
    <w:name w:val="*Principal Hding*"/>
    <w:basedOn w:val="1"/>
    <w:next w:val="21"/>
    <w:link w:val="27"/>
    <w:semiHidden/>
    <w:uiPriority w:val="0"/>
    <w:pPr>
      <w:jc w:val="center"/>
    </w:pPr>
    <w:rPr>
      <w:b/>
      <w:caps/>
      <w:sz w:val="22"/>
      <w:szCs w:val="20"/>
    </w:rPr>
  </w:style>
  <w:style w:type="character" w:customStyle="1" w:styleId="27">
    <w:name w:val="*Principal Hding* Char"/>
    <w:link w:val="26"/>
    <w:uiPriority w:val="0"/>
    <w:rPr>
      <w:b/>
      <w:caps/>
      <w:sz w:val="22"/>
      <w:lang w:val="en-US" w:eastAsia="en-US" w:bidi="ar-SA"/>
    </w:rPr>
  </w:style>
  <w:style w:type="paragraph" w:customStyle="1" w:styleId="28">
    <w:name w:val="*Keywords*"/>
    <w:basedOn w:val="21"/>
    <w:next w:val="21"/>
    <w:uiPriority w:val="0"/>
    <w:pPr>
      <w:ind w:left="360" w:hanging="360"/>
    </w:pPr>
  </w:style>
  <w:style w:type="paragraph" w:customStyle="1" w:styleId="29">
    <w:name w:val="SPIE paper title"/>
    <w:basedOn w:val="20"/>
    <w:link w:val="30"/>
    <w:uiPriority w:val="0"/>
    <w:pPr>
      <w:outlineLvl w:val="0"/>
    </w:pPr>
  </w:style>
  <w:style w:type="character" w:customStyle="1" w:styleId="30">
    <w:name w:val="SPIE paper title Char Char"/>
    <w:link w:val="29"/>
    <w:uiPriority w:val="0"/>
    <w:rPr>
      <w:b/>
      <w:sz w:val="32"/>
      <w:lang w:val="en-US" w:eastAsia="en-US" w:bidi="ar-SA"/>
    </w:rPr>
  </w:style>
  <w:style w:type="paragraph" w:customStyle="1" w:styleId="31">
    <w:name w:val="SPIE author &amp; affils"/>
    <w:basedOn w:val="24"/>
    <w:link w:val="32"/>
    <w:uiPriority w:val="0"/>
    <w:pPr>
      <w:outlineLvl w:val="0"/>
    </w:pPr>
  </w:style>
  <w:style w:type="character" w:customStyle="1" w:styleId="32">
    <w:name w:val="SPIE author &amp; affils Char"/>
    <w:link w:val="31"/>
    <w:uiPriority w:val="0"/>
    <w:rPr>
      <w:sz w:val="24"/>
      <w:lang w:val="en-US" w:eastAsia="en-US" w:bidi="ar-SA"/>
    </w:rPr>
  </w:style>
  <w:style w:type="paragraph" w:customStyle="1" w:styleId="33">
    <w:name w:val="SPIE abstract title"/>
    <w:basedOn w:val="26"/>
    <w:link w:val="34"/>
    <w:uiPriority w:val="0"/>
    <w:pPr>
      <w:spacing w:before="480" w:after="240"/>
      <w:outlineLvl w:val="0"/>
    </w:pPr>
  </w:style>
  <w:style w:type="character" w:customStyle="1" w:styleId="34">
    <w:name w:val="SPIE abstract title Char Char"/>
    <w:link w:val="33"/>
    <w:uiPriority w:val="0"/>
    <w:rPr>
      <w:b/>
      <w:caps/>
      <w:sz w:val="22"/>
      <w:lang w:val="en-US" w:eastAsia="en-US" w:bidi="ar-SA"/>
    </w:rPr>
  </w:style>
  <w:style w:type="character" w:customStyle="1" w:styleId="35">
    <w:name w:val="SPIE body text Char Char"/>
    <w:link w:val="4"/>
    <w:uiPriority w:val="0"/>
    <w:rPr>
      <w:szCs w:val="24"/>
      <w:lang w:val="en-US" w:eastAsia="en-US" w:bidi="ar-SA"/>
    </w:rPr>
  </w:style>
  <w:style w:type="paragraph" w:customStyle="1" w:styleId="36">
    <w:name w:val="SPIE keywords"/>
    <w:basedOn w:val="28"/>
    <w:uiPriority w:val="0"/>
    <w:pPr>
      <w:ind w:left="0" w:firstLine="0"/>
      <w:outlineLvl w:val="0"/>
    </w:pPr>
  </w:style>
  <w:style w:type="paragraph" w:customStyle="1" w:styleId="37">
    <w:name w:val="SPIE figure caption"/>
    <w:basedOn w:val="21"/>
    <w:next w:val="4"/>
    <w:link w:val="38"/>
    <w:uiPriority w:val="0"/>
    <w:pPr>
      <w:spacing w:after="120"/>
      <w:ind w:left="720" w:right="360" w:hanging="360"/>
      <w:jc w:val="left"/>
    </w:pPr>
    <w:rPr>
      <w:sz w:val="18"/>
    </w:rPr>
  </w:style>
  <w:style w:type="character" w:customStyle="1" w:styleId="38">
    <w:name w:val="SPIE figure caption Char"/>
    <w:link w:val="37"/>
    <w:uiPriority w:val="0"/>
    <w:rPr>
      <w:sz w:val="18"/>
      <w:lang w:val="en-US" w:eastAsia="en-US" w:bidi="ar-SA"/>
    </w:rPr>
  </w:style>
  <w:style w:type="paragraph" w:customStyle="1" w:styleId="39">
    <w:name w:val="SPIEreferences"/>
    <w:basedOn w:val="33"/>
    <w:uiPriority w:val="0"/>
    <w:pPr>
      <w:keepNext/>
    </w:pPr>
    <w:rPr>
      <w:szCs w:val="22"/>
    </w:rPr>
  </w:style>
  <w:style w:type="paragraph" w:customStyle="1" w:styleId="40">
    <w:name w:val="SPIE reference listing"/>
    <w:basedOn w:val="21"/>
    <w:uiPriority w:val="0"/>
    <w:pPr>
      <w:numPr>
        <w:ilvl w:val="0"/>
        <w:numId w:val="2"/>
      </w:numPr>
    </w:pPr>
  </w:style>
  <w:style w:type="paragraph" w:customStyle="1" w:styleId="41">
    <w:name w:val="SPIE footnote text"/>
    <w:basedOn w:val="1"/>
    <w:uiPriority w:val="0"/>
    <w:rPr>
      <w:sz w:val="18"/>
    </w:rPr>
  </w:style>
  <w:style w:type="paragraph" w:customStyle="1" w:styleId="42">
    <w:name w:val="SPIE figure"/>
    <w:basedOn w:val="4"/>
    <w:next w:val="37"/>
    <w:uiPriority w:val="0"/>
    <w:pPr>
      <w:keepNext/>
      <w:spacing w:before="120"/>
      <w:jc w:val="center"/>
    </w:pPr>
  </w:style>
  <w:style w:type="paragraph" w:customStyle="1" w:styleId="43">
    <w:name w:val="SPIE figure right"/>
    <w:basedOn w:val="42"/>
    <w:uiPriority w:val="0"/>
    <w:pPr>
      <w:jc w:val="right"/>
    </w:pPr>
  </w:style>
  <w:style w:type="paragraph" w:customStyle="1" w:styleId="44">
    <w:name w:val="SPIE header"/>
    <w:basedOn w:val="4"/>
    <w:next w:val="4"/>
    <w:uiPriority w:val="0"/>
    <w:pPr>
      <w:spacing w:after="0"/>
      <w:ind w:left="360" w:right="360"/>
      <w:jc w:val="left"/>
    </w:pPr>
    <w:rPr>
      <w:sz w:val="18"/>
      <w:szCs w:val="18"/>
    </w:rPr>
  </w:style>
  <w:style w:type="paragraph" w:customStyle="1" w:styleId="45">
    <w:name w:val="SPIE table caption"/>
    <w:basedOn w:val="37"/>
    <w:link w:val="46"/>
    <w:uiPriority w:val="0"/>
  </w:style>
  <w:style w:type="character" w:customStyle="1" w:styleId="46">
    <w:name w:val="SPIE table caption Char"/>
    <w:link w:val="45"/>
    <w:uiPriority w:val="0"/>
    <w:rPr>
      <w:sz w:val="18"/>
      <w:lang w:val="en-US" w:eastAsia="en-US" w:bidi="ar-SA"/>
    </w:rPr>
  </w:style>
  <w:style w:type="paragraph" w:customStyle="1" w:styleId="47">
    <w:name w:val="SPIE List Bullet 2"/>
    <w:basedOn w:val="4"/>
    <w:uiPriority w:val="0"/>
    <w:pPr>
      <w:numPr>
        <w:ilvl w:val="0"/>
        <w:numId w:val="3"/>
      </w:numPr>
    </w:pPr>
  </w:style>
  <w:style w:type="paragraph" w:customStyle="1" w:styleId="48">
    <w:name w:val="SPIE abstract body text"/>
    <w:basedOn w:val="4"/>
    <w:link w:val="49"/>
    <w:uiPriority w:val="0"/>
  </w:style>
  <w:style w:type="character" w:customStyle="1" w:styleId="49">
    <w:name w:val="SPIE abstract body text Char Char"/>
    <w:link w:val="48"/>
    <w:uiPriority w:val="0"/>
    <w:rPr>
      <w:szCs w:val="24"/>
      <w:lang w:val="en-US" w:eastAsia="en-US" w:bidi="ar-SA"/>
    </w:rPr>
  </w:style>
  <w:style w:type="paragraph" w:customStyle="1" w:styleId="50">
    <w:name w:val="SPIE keywords bold"/>
    <w:basedOn w:val="28"/>
    <w:uiPriority w:val="0"/>
    <w:rPr>
      <w:b/>
      <w:bCs/>
    </w:rPr>
  </w:style>
  <w:style w:type="paragraph" w:customStyle="1" w:styleId="51">
    <w:name w:val="Style SPIE figure caption"/>
    <w:basedOn w:val="37"/>
    <w:uiPriority w:val="0"/>
    <w:pPr>
      <w:jc w:val="both"/>
    </w:pPr>
  </w:style>
  <w:style w:type="character" w:customStyle="1" w:styleId="52">
    <w:name w:val="body31"/>
    <w:uiPriority w:val="0"/>
    <w:rPr>
      <w:rFonts w:hint="default" w:ascii="Verdana" w:hAnsi="Verdana"/>
      <w:color w:val="000000"/>
      <w:sz w:val="13"/>
      <w:szCs w:val="13"/>
    </w:rPr>
  </w:style>
  <w:style w:type="character" w:customStyle="1" w:styleId="53">
    <w:name w:val="页脚 字符"/>
    <w:link w:val="10"/>
    <w:uiPriority w:val="99"/>
    <w:rPr>
      <w:sz w:val="24"/>
      <w:szCs w:val="24"/>
    </w:rPr>
  </w:style>
  <w:style w:type="character" w:customStyle="1" w:styleId="54">
    <w:name w:val="Unresolved Mention"/>
    <w:semiHidden/>
    <w:unhideWhenUsed/>
    <w:uiPriority w:val="99"/>
    <w:rPr>
      <w:color w:val="605E5C"/>
      <w:shd w:val="clear" w:color="auto" w:fill="E1DFDD"/>
    </w:rPr>
  </w:style>
  <w:style w:type="character" w:customStyle="1" w:styleId="55">
    <w:name w:val="副标题 字符"/>
    <w:link w:val="12"/>
    <w:uiPriority w:val="0"/>
    <w:rPr>
      <w:rFonts w:eastAsia="Yu Gothic Light" w:cs="Times New Roman"/>
      <w:sz w:val="18"/>
      <w:szCs w:val="24"/>
      <w:lang w:eastAsia="en-US"/>
    </w:rPr>
  </w:style>
  <w:style w:type="paragraph" w:styleId="56">
    <w:name w:val="List Paragraph"/>
    <w:basedOn w:val="1"/>
    <w:qFormat/>
    <w:uiPriority w:val="34"/>
    <w:pPr>
      <w:numPr>
        <w:ilvl w:val="0"/>
        <w:numId w:val="4"/>
      </w:numPr>
      <w:ind w:left="360"/>
    </w:pPr>
  </w:style>
  <w:style w:type="character" w:customStyle="1" w:styleId="57">
    <w:name w:val="标题 字符"/>
    <w:link w:val="13"/>
    <w:uiPriority w:val="0"/>
    <w:rPr>
      <w:rFonts w:eastAsia="Yu Gothic Light" w:cs="Times New Roman"/>
      <w:b/>
      <w:bCs/>
      <w:kern w:val="28"/>
      <w:sz w:val="32"/>
      <w:szCs w:val="32"/>
      <w:lang w:eastAsia="en-US"/>
    </w:rPr>
  </w:style>
  <w:style w:type="paragraph" w:customStyle="1" w:styleId="58">
    <w:name w:val="Source Code"/>
    <w:uiPriority w:val="0"/>
    <w:pPr>
      <w:wordWrap w:val="0"/>
    </w:pPr>
    <w:rPr>
      <w:rFonts w:ascii="Times New Roman" w:hAnsi="Times New Roman" w:eastAsia="等线" w:cs="Times New Roman"/>
      <w:lang w:val="en-US" w:eastAsia="zh-CN" w:bidi="ar-SA"/>
    </w:rPr>
  </w:style>
  <w:style w:type="character" w:customStyle="1" w:styleId="59">
    <w:name w:val="KeywordTok"/>
    <w:uiPriority w:val="0"/>
    <w:rPr>
      <w:b/>
      <w:color w:val="007020"/>
    </w:rPr>
  </w:style>
  <w:style w:type="character" w:customStyle="1" w:styleId="60">
    <w:name w:val="DataTypeTok"/>
    <w:uiPriority w:val="0"/>
    <w:rPr>
      <w:color w:val="902000"/>
    </w:rPr>
  </w:style>
  <w:style w:type="character" w:customStyle="1" w:styleId="61">
    <w:name w:val="DecValTok"/>
    <w:uiPriority w:val="0"/>
    <w:rPr>
      <w:color w:val="40A070"/>
    </w:rPr>
  </w:style>
  <w:style w:type="character" w:customStyle="1" w:styleId="62">
    <w:name w:val="BaseNTok"/>
    <w:uiPriority w:val="0"/>
    <w:rPr>
      <w:color w:val="40A070"/>
    </w:rPr>
  </w:style>
  <w:style w:type="character" w:customStyle="1" w:styleId="63">
    <w:name w:val="FloatTok"/>
    <w:uiPriority w:val="0"/>
    <w:rPr>
      <w:color w:val="40A070"/>
    </w:rPr>
  </w:style>
  <w:style w:type="character" w:customStyle="1" w:styleId="64">
    <w:name w:val="ConstantTok"/>
    <w:uiPriority w:val="0"/>
    <w:rPr>
      <w:color w:val="880000"/>
    </w:rPr>
  </w:style>
  <w:style w:type="character" w:customStyle="1" w:styleId="65">
    <w:name w:val="CharTok"/>
    <w:uiPriority w:val="0"/>
    <w:rPr>
      <w:color w:val="4070A0"/>
    </w:rPr>
  </w:style>
  <w:style w:type="character" w:customStyle="1" w:styleId="66">
    <w:name w:val="SpecialCharTok"/>
    <w:uiPriority w:val="0"/>
    <w:rPr>
      <w:color w:val="4070A0"/>
    </w:rPr>
  </w:style>
  <w:style w:type="character" w:customStyle="1" w:styleId="67">
    <w:name w:val="StringTok"/>
    <w:uiPriority w:val="0"/>
    <w:rPr>
      <w:color w:val="4070A0"/>
    </w:rPr>
  </w:style>
  <w:style w:type="character" w:customStyle="1" w:styleId="68">
    <w:name w:val="VerbatimStringTok"/>
    <w:uiPriority w:val="0"/>
    <w:rPr>
      <w:color w:val="4070A0"/>
    </w:rPr>
  </w:style>
  <w:style w:type="character" w:customStyle="1" w:styleId="69">
    <w:name w:val="SpecialStringTok"/>
    <w:uiPriority w:val="0"/>
    <w:rPr>
      <w:color w:val="BB6688"/>
    </w:rPr>
  </w:style>
  <w:style w:type="character" w:customStyle="1" w:styleId="70">
    <w:name w:val="ImportTok"/>
    <w:uiPriority w:val="0"/>
    <w:rPr>
      <w:b/>
      <w:color w:val="008000"/>
    </w:rPr>
  </w:style>
  <w:style w:type="character" w:customStyle="1" w:styleId="71">
    <w:name w:val="CommentTok"/>
    <w:uiPriority w:val="0"/>
    <w:rPr>
      <w:i/>
      <w:color w:val="60A0B0"/>
    </w:rPr>
  </w:style>
  <w:style w:type="character" w:customStyle="1" w:styleId="72">
    <w:name w:val="DocumentationTok"/>
    <w:uiPriority w:val="0"/>
    <w:rPr>
      <w:i/>
      <w:color w:val="BA2121"/>
    </w:rPr>
  </w:style>
  <w:style w:type="character" w:customStyle="1" w:styleId="73">
    <w:name w:val="AnnotationTok"/>
    <w:uiPriority w:val="0"/>
    <w:rPr>
      <w:b/>
      <w:i/>
      <w:color w:val="60A0B0"/>
    </w:rPr>
  </w:style>
  <w:style w:type="character" w:customStyle="1" w:styleId="74">
    <w:name w:val="CommentVarTok"/>
    <w:uiPriority w:val="0"/>
    <w:rPr>
      <w:b/>
      <w:i/>
      <w:color w:val="60A0B0"/>
    </w:rPr>
  </w:style>
  <w:style w:type="character" w:customStyle="1" w:styleId="75">
    <w:name w:val="OtherTok"/>
    <w:uiPriority w:val="0"/>
    <w:rPr>
      <w:color w:val="007020"/>
    </w:rPr>
  </w:style>
  <w:style w:type="character" w:customStyle="1" w:styleId="76">
    <w:name w:val="FunctionTok"/>
    <w:uiPriority w:val="0"/>
    <w:rPr>
      <w:color w:val="06287E"/>
    </w:rPr>
  </w:style>
  <w:style w:type="character" w:customStyle="1" w:styleId="77">
    <w:name w:val="VariableTok"/>
    <w:uiPriority w:val="0"/>
    <w:rPr>
      <w:color w:val="19177C"/>
    </w:rPr>
  </w:style>
  <w:style w:type="character" w:customStyle="1" w:styleId="78">
    <w:name w:val="ControlFlowTok"/>
    <w:uiPriority w:val="0"/>
    <w:rPr>
      <w:b/>
      <w:color w:val="007020"/>
    </w:rPr>
  </w:style>
  <w:style w:type="character" w:customStyle="1" w:styleId="79">
    <w:name w:val="OperatorTok"/>
    <w:uiPriority w:val="0"/>
    <w:rPr>
      <w:color w:val="666666"/>
    </w:rPr>
  </w:style>
  <w:style w:type="character" w:customStyle="1" w:styleId="80">
    <w:name w:val="BuiltInTok"/>
    <w:uiPriority w:val="0"/>
    <w:rPr>
      <w:color w:val="008000"/>
    </w:rPr>
  </w:style>
  <w:style w:type="character" w:customStyle="1" w:styleId="81">
    <w:name w:val="ExtensionTok"/>
    <w:uiPriority w:val="0"/>
  </w:style>
  <w:style w:type="character" w:customStyle="1" w:styleId="82">
    <w:name w:val="PreprocessorTok"/>
    <w:uiPriority w:val="0"/>
    <w:rPr>
      <w:color w:val="BC7A00"/>
    </w:rPr>
  </w:style>
  <w:style w:type="character" w:customStyle="1" w:styleId="83">
    <w:name w:val="AttributeTok"/>
    <w:uiPriority w:val="0"/>
    <w:rPr>
      <w:color w:val="7D9029"/>
    </w:rPr>
  </w:style>
  <w:style w:type="character" w:customStyle="1" w:styleId="84">
    <w:name w:val="RegionMarkerTok"/>
    <w:uiPriority w:val="0"/>
  </w:style>
  <w:style w:type="character" w:customStyle="1" w:styleId="85">
    <w:name w:val="InformationTok"/>
    <w:uiPriority w:val="0"/>
    <w:rPr>
      <w:b/>
      <w:i/>
      <w:color w:val="60A0B0"/>
    </w:rPr>
  </w:style>
  <w:style w:type="character" w:customStyle="1" w:styleId="86">
    <w:name w:val="WarningTok"/>
    <w:uiPriority w:val="0"/>
    <w:rPr>
      <w:b/>
      <w:i/>
      <w:color w:val="60A0B0"/>
    </w:rPr>
  </w:style>
  <w:style w:type="character" w:customStyle="1" w:styleId="87">
    <w:name w:val="AlertTok"/>
    <w:uiPriority w:val="0"/>
    <w:rPr>
      <w:b/>
      <w:color w:val="FF0000"/>
    </w:rPr>
  </w:style>
  <w:style w:type="character" w:customStyle="1" w:styleId="88">
    <w:name w:val="ErrorTok"/>
    <w:uiPriority w:val="0"/>
    <w:rPr>
      <w:b/>
      <w:color w:val="FF0000"/>
    </w:rPr>
  </w:style>
  <w:style w:type="character" w:customStyle="1" w:styleId="89">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SPIE</Company>
  <Pages>8</Pages>
  <Words>1087</Words>
  <Characters>6199</Characters>
  <Lines>51</Lines>
  <Paragraphs>14</Paragraphs>
  <TotalTime>4</TotalTime>
  <ScaleCrop>false</ScaleCrop>
  <LinksUpToDate>false</LinksUpToDate>
  <CharactersWithSpaces>7272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2026-10-08T00:27:00Z</dcterms:created>
  <dc:creator>张奥</dc:creator>
  <cp:lastModifiedBy>张奥</cp:lastModifiedBy>
  <dcterms:modified xsi:type="dcterms:W3CDTF">2026-10-12T16:09:50Z</dcterms:modified>
  <dc:title>SynGS manuscript for SPIE A4 Word export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6A73224F34103804D102C66AA2D059EB_42</vt:lpwstr>
  </property>
</Properties>
</file>