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Employee Handbook</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HR-001</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3.0</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People Officer</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CEO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January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January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HR-001</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Employee Handbook</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3.0</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Chief People Officer</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CEO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January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January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Employees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2.2 (01 June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HR-002, HR-003, HR-004, HR-005, HR-006, HR-007, HR-008, HR-009, HR-010, HR-011, HR-012, SEC-001, SEC-006</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Welcome to Vistara Global Systems</w:t>
      </w:r>
    </w:p>
    <w:p>
      <w:pPr/>
      <w:r>
        <w:t>This section establishes the Vistara Global Systems framework regarding Welcome to Vistara Global Systems. Our organization, spanning 1,087 employees across India (Bengaluru, Hyderabad, Pune, Mumbai, Gurugram, Chennai, Kolkata, New Delhi) and internationally (Singapore, Dubai, London, Austin), relies on clear standards to maintain operational excellence.</w:t>
      </w:r>
    </w:p>
    <w:p>
      <w:pPr/>
      <w:r>
        <w:t>The provisions under Welcome to Vistara Global Systems apply uniformly, with specific regional variations handled through the HR Business Partner. Strict adherence is expected from all personnel.</w:t>
      </w:r>
    </w:p>
    <w:p>
      <w:pPr>
        <w:pStyle w:val="ListBullet"/>
      </w:pPr>
      <w:r>
        <w:t>Primary responsibility for Welcome to Vistara Global Systems rests with the employee and their reporting manager.</w:t>
      </w:r>
    </w:p>
    <w:p>
      <w:pPr>
        <w:pStyle w:val="ListBullet"/>
      </w:pPr>
      <w:r>
        <w:t>Vistara Global Systems integrates Welcome to Vistara Global Systems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1.1 Implementation Procedures for Welcome to Vistara Global Systems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1.2 Implementation Procedures for Welcome to Vistara Global Systems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1.3 Implementation Procedures for Welcome to Vistara Global Systems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 Company History and Mission</w:t>
      </w:r>
    </w:p>
    <w:p>
      <w:pPr/>
      <w:r>
        <w:t>This section establishes the Vistara Global Systems framework regarding Company History and Mission. Our organization, spanning 1,087 employees across India (Bengaluru, Hyderabad, Pune, Mumbai, Gurugram, Chennai, Kolkata, New Delhi) and internationally (Singapore, Dubai, London, Austin), relies on clear standards to maintain operational excellence.</w:t>
      </w:r>
    </w:p>
    <w:p>
      <w:pPr/>
      <w:r>
        <w:t>The provisions under Company History and Mission apply uniformly, with specific regional variations handled through the HR Business Partner. Strict adherence is expected from all personnel.</w:t>
      </w:r>
    </w:p>
    <w:p>
      <w:pPr>
        <w:pStyle w:val="ListBullet"/>
      </w:pPr>
      <w:r>
        <w:t>Primary responsibility for Company History and Mission rests with the employee and their reporting manager.</w:t>
      </w:r>
    </w:p>
    <w:p>
      <w:pPr>
        <w:pStyle w:val="ListBullet"/>
      </w:pPr>
      <w:r>
        <w:t>Vistara Global Systems integrates Company History and Mission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2.1 Implementation Procedures for Company History and Mission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2.2 Implementation Procedures for Company History and Mission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2.3 Implementation Procedures for Company History and Mission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3. Organizational Structure and 10 Departments</w:t>
      </w:r>
    </w:p>
    <w:p>
      <w:pPr/>
      <w:r>
        <w:t>This section establishes the Vistara Global Systems framework regarding Organizational Structure and 10 Departments. Our organization, spanning 1,087 employees across India (Bengaluru, Hyderabad, Pune, Mumbai, Gurugram, Chennai, Kolkata, New Delhi) and internationally (Singapore, Dubai, London, Austin), relies on clear standards to maintain operational excellence.</w:t>
      </w:r>
    </w:p>
    <w:p>
      <w:pPr/>
      <w:r>
        <w:t>The provisions under Organizational Structure and 10 Departments apply uniformly, with specific regional variations handled through the HR Business Partner. Strict adherence is expected from all personnel.</w:t>
      </w:r>
    </w:p>
    <w:p>
      <w:pPr>
        <w:pStyle w:val="ListBullet"/>
      </w:pPr>
      <w:r>
        <w:t>Primary responsibility for Organizational Structure and 10 Departments rests with the employee and their reporting manager.</w:t>
      </w:r>
    </w:p>
    <w:p>
      <w:pPr>
        <w:pStyle w:val="ListBullet"/>
      </w:pPr>
      <w:r>
        <w:t>Vistara Global Systems integrates Organizational Structure and 10 Departments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3.1 Implementation Procedures for Organizational Structure and 10 Departments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3.2 Implementation Procedures for Organizational Structure and 10 Departments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3.3 Implementation Procedures for Organizational Structure and 10 Departments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4. Employment Expectations and Core Values</w:t>
      </w:r>
    </w:p>
    <w:p>
      <w:pPr/>
      <w:r>
        <w:t>This section establishes the Vistara Global Systems framework regarding Employment Expectations and Core Values. Our organization, spanning 1,087 employees across India (Bengaluru, Hyderabad, Pune, Mumbai, Gurugram, Chennai, Kolkata, New Delhi) and internationally (Singapore, Dubai, London, Austin), relies on clear standards to maintain operational excellence.</w:t>
      </w:r>
    </w:p>
    <w:p>
      <w:pPr/>
      <w:r>
        <w:t>The provisions under Employment Expectations and Core Values apply uniformly, with specific regional variations handled through the HR Business Partner. Strict adherence is expected from all personnel.</w:t>
      </w:r>
    </w:p>
    <w:p>
      <w:pPr>
        <w:pStyle w:val="ListBullet"/>
      </w:pPr>
      <w:r>
        <w:t>Primary responsibility for Employment Expectations and Core Values rests with the employee and their reporting manager.</w:t>
      </w:r>
    </w:p>
    <w:p>
      <w:pPr>
        <w:pStyle w:val="ListBullet"/>
      </w:pPr>
      <w:r>
        <w:t>Vistara Global Systems integrates Employment Expectations and Core Values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Role</w:t>
            </w:r>
          </w:p>
        </w:tc>
        <w:tc>
          <w:tcPr>
            <w:tcW w:type="dxa" w:w="3120"/>
            <w:shd w:fill="1B3A5C" w:val="clear"/>
          </w:tcPr>
          <w:p>
            <w:pPr>
              <w:jc w:val="center"/>
            </w:pPr>
            <w:r>
              <w:rPr>
                <w:rFonts w:ascii="Calibri" w:hAnsi="Calibri"/>
                <w:b/>
                <w:color w:val="FFFFFF"/>
                <w:sz w:val="20"/>
              </w:rPr>
              <w:t>Responsibility regarding Employment Expe</w:t>
            </w:r>
          </w:p>
        </w:tc>
        <w:tc>
          <w:tcPr>
            <w:tcW w:type="dxa" w:w="3120"/>
            <w:shd w:fill="1B3A5C" w:val="clear"/>
          </w:tcPr>
          <w:p>
            <w:pPr>
              <w:jc w:val="center"/>
            </w:pPr>
            <w:r>
              <w:rPr>
                <w:rFonts w:ascii="Calibri" w:hAnsi="Calibri"/>
                <w:b/>
                <w:color w:val="FFFFFF"/>
                <w:sz w:val="20"/>
              </w:rPr>
              <w:t>SLA/Timeline</w:t>
            </w:r>
          </w:p>
        </w:tc>
      </w:tr>
      <w:tr>
        <w:tc>
          <w:tcPr>
            <w:tcW w:type="dxa" w:w="3120"/>
          </w:tcPr>
          <w:p>
            <w:r>
              <w:rPr>
                <w:rFonts w:ascii="Calibri" w:hAnsi="Calibri"/>
                <w:color w:val="333333"/>
                <w:sz w:val="18"/>
              </w:rPr>
              <w:t>Employee</w:t>
            </w:r>
          </w:p>
        </w:tc>
        <w:tc>
          <w:tcPr>
            <w:tcW w:type="dxa" w:w="3120"/>
          </w:tcPr>
          <w:p>
            <w:r>
              <w:rPr>
                <w:rFonts w:ascii="Calibri" w:hAnsi="Calibri"/>
                <w:color w:val="333333"/>
                <w:sz w:val="18"/>
              </w:rPr>
              <w:t>Initiate and comply with guidelines</w:t>
            </w:r>
          </w:p>
        </w:tc>
        <w:tc>
          <w:tcPr>
            <w:tcW w:type="dxa" w:w="3120"/>
          </w:tcPr>
          <w:p>
            <w:r>
              <w:rPr>
                <w:rFonts w:ascii="Calibri" w:hAnsi="Calibri"/>
                <w:color w:val="333333"/>
                <w:sz w:val="18"/>
              </w:rPr>
              <w:t>Immediate</w:t>
            </w:r>
          </w:p>
        </w:tc>
      </w:tr>
      <w:tr>
        <w:tc>
          <w:tcPr>
            <w:tcW w:type="dxa" w:w="3120"/>
            <w:shd w:fill="F2F6FA" w:val="clear"/>
          </w:tcPr>
          <w:p>
            <w:r>
              <w:rPr>
                <w:rFonts w:ascii="Calibri" w:hAnsi="Calibri"/>
                <w:color w:val="333333"/>
                <w:sz w:val="18"/>
              </w:rPr>
              <w:t>Manager</w:t>
            </w:r>
          </w:p>
        </w:tc>
        <w:tc>
          <w:tcPr>
            <w:tcW w:type="dxa" w:w="3120"/>
            <w:shd w:fill="F2F6FA" w:val="clear"/>
          </w:tcPr>
          <w:p>
            <w:r>
              <w:rPr>
                <w:rFonts w:ascii="Calibri" w:hAnsi="Calibri"/>
                <w:color w:val="333333"/>
                <w:sz w:val="18"/>
              </w:rPr>
              <w:t>Review and approve/reject</w:t>
            </w:r>
          </w:p>
        </w:tc>
        <w:tc>
          <w:tcPr>
            <w:tcW w:type="dxa" w:w="3120"/>
            <w:shd w:fill="F2F6FA" w:val="clear"/>
          </w:tcPr>
          <w:p>
            <w:r>
              <w:rPr>
                <w:rFonts w:ascii="Calibri" w:hAnsi="Calibri"/>
                <w:color w:val="333333"/>
                <w:sz w:val="18"/>
              </w:rPr>
              <w:t>48 Hours</w:t>
            </w:r>
          </w:p>
        </w:tc>
      </w:tr>
      <w:tr>
        <w:tc>
          <w:tcPr>
            <w:tcW w:type="dxa" w:w="3120"/>
          </w:tcPr>
          <w:p>
            <w:r>
              <w:rPr>
                <w:rFonts w:ascii="Calibri" w:hAnsi="Calibri"/>
                <w:color w:val="333333"/>
                <w:sz w:val="18"/>
              </w:rPr>
              <w:t>HR / Admin</w:t>
            </w:r>
          </w:p>
        </w:tc>
        <w:tc>
          <w:tcPr>
            <w:tcW w:type="dxa" w:w="3120"/>
          </w:tcPr>
          <w:p>
            <w:r>
              <w:rPr>
                <w:rFonts w:ascii="Calibri" w:hAnsi="Calibri"/>
                <w:color w:val="333333"/>
                <w:sz w:val="18"/>
              </w:rPr>
              <w:t>Audit and process final records</w:t>
            </w:r>
          </w:p>
        </w:tc>
        <w:tc>
          <w:tcPr>
            <w:tcW w:type="dxa" w:w="3120"/>
          </w:tcPr>
          <w:p>
            <w:r>
              <w:rPr>
                <w:rFonts w:ascii="Calibri" w:hAnsi="Calibri"/>
                <w:color w:val="333333"/>
                <w:sz w:val="18"/>
              </w:rPr>
              <w:t>5 Business Days</w:t>
            </w:r>
          </w:p>
        </w:tc>
      </w:tr>
    </w:tbl>
    <w:p/>
    <w:p>
      <w:pPr>
        <w:pStyle w:val="Heading2"/>
      </w:pPr>
      <w:r>
        <w:t>4.1 Implementation Procedures for Employment Expectations and Core Values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4.2 Implementation Procedures for Employment Expectations and Core Values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4.3 Implementation Procedures for Employment Expectations and Core Values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5. Workplace Behavior and Professionalism</w:t>
      </w:r>
    </w:p>
    <w:p>
      <w:pPr/>
      <w:r>
        <w:t>This section establishes the Vistara Global Systems framework regarding Workplace Behavior and Professionalism. Our organization, spanning 1,087 employees across India (Bengaluru, Hyderabad, Pune, Mumbai, Gurugram, Chennai, Kolkata, New Delhi) and internationally (Singapore, Dubai, London, Austin), relies on clear standards to maintain operational excellence.</w:t>
      </w:r>
    </w:p>
    <w:p>
      <w:pPr/>
      <w:r>
        <w:t>The provisions under Workplace Behavior and Professionalism apply uniformly, with specific regional variations handled through the HR Business Partner. Strict adherence is expected from all personnel.</w:t>
      </w:r>
    </w:p>
    <w:p>
      <w:pPr>
        <w:pStyle w:val="ListBullet"/>
      </w:pPr>
      <w:r>
        <w:t>Primary responsibility for Workplace Behavior and Professionalism rests with the employee and their reporting manager.</w:t>
      </w:r>
    </w:p>
    <w:p>
      <w:pPr>
        <w:pStyle w:val="ListBullet"/>
      </w:pPr>
      <w:r>
        <w:t>Vistara Global Systems integrates Workplace Behavior and Professionalism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5.1 Implementation Procedures for Workplace Behavior and Professionalism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5.2 Implementation Procedures for Workplace Behavior and Professionalism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5.3 Implementation Procedures for Workplace Behavior and Professionalism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6. Working Hours (9:00-18:00 IST Standard with Flex)</w:t>
      </w:r>
    </w:p>
    <w:p>
      <w:pPr/>
      <w:r>
        <w:t>This section establishes the Vistara Global Systems framework regarding Working Hours (9:00-18:00 IST Standard with Flex). Our organization, spanning 1,087 employees across India (Bengaluru, Hyderabad, Pune, Mumbai, Gurugram, Chennai, Kolkata, New Delhi) and internationally (Singapore, Dubai, London, Austin), relies on clear standards to maintain operational excellence.</w:t>
      </w:r>
    </w:p>
    <w:p>
      <w:pPr/>
      <w:r>
        <w:t>The provisions under Working Hours (9:00-18:00 IST Standard with Flex) apply uniformly, with specific regional variations handled through the HR Business Partner. Strict adherence is expected from all personnel.</w:t>
      </w:r>
    </w:p>
    <w:p>
      <w:pPr>
        <w:pStyle w:val="ListBullet"/>
      </w:pPr>
      <w:r>
        <w:t>Primary responsibility for Working Hours (9:00-18:00 IST Standard with Flex) rests with the employee and their reporting manager.</w:t>
      </w:r>
    </w:p>
    <w:p>
      <w:pPr>
        <w:pStyle w:val="ListBullet"/>
      </w:pPr>
      <w:r>
        <w:t>Vistara Global Systems integrates Working Hours (9:00-18:00 IST Standard with Flex)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6.1 Implementation Procedures for Working Hours (9:00-18:00 IST Standard with Flex)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6.2 Implementation Procedures for Working Hours (9:00-18:00 IST Standard with Flex)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6.3 Implementation Procedures for Working Hours (9:00-18:00 IST Standard with Flex)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7. Leave and Time Off Overview</w:t>
      </w:r>
    </w:p>
    <w:p>
      <w:pPr/>
      <w:r>
        <w:t>This section establishes the Vistara Global Systems framework regarding Leave and Time Off Overview. Our organization, spanning 1,087 employees across India (Bengaluru, Hyderabad, Pune, Mumbai, Gurugram, Chennai, Kolkata, New Delhi) and internationally (Singapore, Dubai, London, Austin), relies on clear standards to maintain operational excellence.</w:t>
      </w:r>
    </w:p>
    <w:p>
      <w:pPr/>
      <w:r>
        <w:t>The provisions under Leave and Time Off Overview apply uniformly, with specific regional variations handled through the HR Business Partner. Strict adherence is expected from all personnel.</w:t>
      </w:r>
    </w:p>
    <w:p>
      <w:pPr>
        <w:pStyle w:val="ListBullet"/>
      </w:pPr>
      <w:r>
        <w:t>Primary responsibility for Leave and Time Off Overview rests with the employee and their reporting manager.</w:t>
      </w:r>
    </w:p>
    <w:p>
      <w:pPr>
        <w:pStyle w:val="ListBullet"/>
      </w:pPr>
      <w:r>
        <w:t>Vistara Global Systems integrates Leave and Time Off Overview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7.1 Implementation Procedures for Leave and Time Off Overview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7.2 Implementation Procedures for Leave and Time Off Overview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7.3 Implementation Procedures for Leave and Time Off Overview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8. Benefits and Compensation Overview</w:t>
      </w:r>
    </w:p>
    <w:p>
      <w:pPr/>
      <w:r>
        <w:t>This section establishes the Vistara Global Systems framework regarding Benefits and Compensation Overview. Our organization, spanning 1,087 employees across India (Bengaluru, Hyderabad, Pune, Mumbai, Gurugram, Chennai, Kolkata, New Delhi) and internationally (Singapore, Dubai, London, Austin), relies on clear standards to maintain operational excellence.</w:t>
      </w:r>
    </w:p>
    <w:p>
      <w:pPr/>
      <w:r>
        <w:t>The provisions under Benefits and Compensation Overview apply uniformly, with specific regional variations handled through the HR Business Partner. Strict adherence is expected from all personnel.</w:t>
      </w:r>
    </w:p>
    <w:p>
      <w:pPr>
        <w:pStyle w:val="ListBullet"/>
      </w:pPr>
      <w:r>
        <w:t>Primary responsibility for Benefits and Compensation Overview rests with the employee and their reporting manager.</w:t>
      </w:r>
    </w:p>
    <w:p>
      <w:pPr>
        <w:pStyle w:val="ListBullet"/>
      </w:pPr>
      <w:r>
        <w:t>Vistara Global Systems integrates Benefits and Compensation Overview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Role</w:t>
            </w:r>
          </w:p>
        </w:tc>
        <w:tc>
          <w:tcPr>
            <w:tcW w:type="dxa" w:w="3120"/>
            <w:shd w:fill="1B3A5C" w:val="clear"/>
          </w:tcPr>
          <w:p>
            <w:pPr>
              <w:jc w:val="center"/>
            </w:pPr>
            <w:r>
              <w:rPr>
                <w:rFonts w:ascii="Calibri" w:hAnsi="Calibri"/>
                <w:b/>
                <w:color w:val="FFFFFF"/>
                <w:sz w:val="20"/>
              </w:rPr>
              <w:t>Responsibility regarding Benefits and Co</w:t>
            </w:r>
          </w:p>
        </w:tc>
        <w:tc>
          <w:tcPr>
            <w:tcW w:type="dxa" w:w="3120"/>
            <w:shd w:fill="1B3A5C" w:val="clear"/>
          </w:tcPr>
          <w:p>
            <w:pPr>
              <w:jc w:val="center"/>
            </w:pPr>
            <w:r>
              <w:rPr>
                <w:rFonts w:ascii="Calibri" w:hAnsi="Calibri"/>
                <w:b/>
                <w:color w:val="FFFFFF"/>
                <w:sz w:val="20"/>
              </w:rPr>
              <w:t>SLA/Timeline</w:t>
            </w:r>
          </w:p>
        </w:tc>
      </w:tr>
      <w:tr>
        <w:tc>
          <w:tcPr>
            <w:tcW w:type="dxa" w:w="3120"/>
          </w:tcPr>
          <w:p>
            <w:r>
              <w:rPr>
                <w:rFonts w:ascii="Calibri" w:hAnsi="Calibri"/>
                <w:color w:val="333333"/>
                <w:sz w:val="18"/>
              </w:rPr>
              <w:t>Employee</w:t>
            </w:r>
          </w:p>
        </w:tc>
        <w:tc>
          <w:tcPr>
            <w:tcW w:type="dxa" w:w="3120"/>
          </w:tcPr>
          <w:p>
            <w:r>
              <w:rPr>
                <w:rFonts w:ascii="Calibri" w:hAnsi="Calibri"/>
                <w:color w:val="333333"/>
                <w:sz w:val="18"/>
              </w:rPr>
              <w:t>Initiate and comply with guidelines</w:t>
            </w:r>
          </w:p>
        </w:tc>
        <w:tc>
          <w:tcPr>
            <w:tcW w:type="dxa" w:w="3120"/>
          </w:tcPr>
          <w:p>
            <w:r>
              <w:rPr>
                <w:rFonts w:ascii="Calibri" w:hAnsi="Calibri"/>
                <w:color w:val="333333"/>
                <w:sz w:val="18"/>
              </w:rPr>
              <w:t>Immediate</w:t>
            </w:r>
          </w:p>
        </w:tc>
      </w:tr>
      <w:tr>
        <w:tc>
          <w:tcPr>
            <w:tcW w:type="dxa" w:w="3120"/>
            <w:shd w:fill="F2F6FA" w:val="clear"/>
          </w:tcPr>
          <w:p>
            <w:r>
              <w:rPr>
                <w:rFonts w:ascii="Calibri" w:hAnsi="Calibri"/>
                <w:color w:val="333333"/>
                <w:sz w:val="18"/>
              </w:rPr>
              <w:t>Manager</w:t>
            </w:r>
          </w:p>
        </w:tc>
        <w:tc>
          <w:tcPr>
            <w:tcW w:type="dxa" w:w="3120"/>
            <w:shd w:fill="F2F6FA" w:val="clear"/>
          </w:tcPr>
          <w:p>
            <w:r>
              <w:rPr>
                <w:rFonts w:ascii="Calibri" w:hAnsi="Calibri"/>
                <w:color w:val="333333"/>
                <w:sz w:val="18"/>
              </w:rPr>
              <w:t>Review and approve/reject</w:t>
            </w:r>
          </w:p>
        </w:tc>
        <w:tc>
          <w:tcPr>
            <w:tcW w:type="dxa" w:w="3120"/>
            <w:shd w:fill="F2F6FA" w:val="clear"/>
          </w:tcPr>
          <w:p>
            <w:r>
              <w:rPr>
                <w:rFonts w:ascii="Calibri" w:hAnsi="Calibri"/>
                <w:color w:val="333333"/>
                <w:sz w:val="18"/>
              </w:rPr>
              <w:t>48 Hours</w:t>
            </w:r>
          </w:p>
        </w:tc>
      </w:tr>
      <w:tr>
        <w:tc>
          <w:tcPr>
            <w:tcW w:type="dxa" w:w="3120"/>
          </w:tcPr>
          <w:p>
            <w:r>
              <w:rPr>
                <w:rFonts w:ascii="Calibri" w:hAnsi="Calibri"/>
                <w:color w:val="333333"/>
                <w:sz w:val="18"/>
              </w:rPr>
              <w:t>HR / Admin</w:t>
            </w:r>
          </w:p>
        </w:tc>
        <w:tc>
          <w:tcPr>
            <w:tcW w:type="dxa" w:w="3120"/>
          </w:tcPr>
          <w:p>
            <w:r>
              <w:rPr>
                <w:rFonts w:ascii="Calibri" w:hAnsi="Calibri"/>
                <w:color w:val="333333"/>
                <w:sz w:val="18"/>
              </w:rPr>
              <w:t>Audit and process final records</w:t>
            </w:r>
          </w:p>
        </w:tc>
        <w:tc>
          <w:tcPr>
            <w:tcW w:type="dxa" w:w="3120"/>
          </w:tcPr>
          <w:p>
            <w:r>
              <w:rPr>
                <w:rFonts w:ascii="Calibri" w:hAnsi="Calibri"/>
                <w:color w:val="333333"/>
                <w:sz w:val="18"/>
              </w:rPr>
              <w:t>5 Business Days</w:t>
            </w:r>
          </w:p>
        </w:tc>
      </w:tr>
    </w:tbl>
    <w:p/>
    <w:p>
      <w:pPr>
        <w:pStyle w:val="Heading2"/>
      </w:pPr>
      <w:r>
        <w:t>8.1 Implementation Procedures for Benefits and Compensation Overview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8.2 Implementation Procedures for Benefits and Compensation Overview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8.3 Implementation Procedures for Benefits and Compensation Overview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9. Remote Work and Telecommuting</w:t>
      </w:r>
    </w:p>
    <w:p>
      <w:pPr/>
      <w:r>
        <w:t>This section establishes the Vistara Global Systems framework regarding Remote Work and Telecommuting. Our organization, spanning 1,087 employees across India (Bengaluru, Hyderabad, Pune, Mumbai, Gurugram, Chennai, Kolkata, New Delhi) and internationally (Singapore, Dubai, London, Austin), relies on clear standards to maintain operational excellence.</w:t>
      </w:r>
    </w:p>
    <w:p>
      <w:pPr/>
      <w:r>
        <w:t>The provisions under Remote Work and Telecommuting apply uniformly, with specific regional variations handled through the HR Business Partner. Strict adherence is expected from all personnel.</w:t>
      </w:r>
    </w:p>
    <w:p>
      <w:pPr>
        <w:pStyle w:val="ListBullet"/>
      </w:pPr>
      <w:r>
        <w:t>Primary responsibility for Remote Work and Telecommuting rests with the employee and their reporting manager.</w:t>
      </w:r>
    </w:p>
    <w:p>
      <w:pPr>
        <w:pStyle w:val="ListBullet"/>
      </w:pPr>
      <w:r>
        <w:t>Vistara Global Systems integrates Remote Work and Telecommuting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9.1 Implementation Procedures for Remote Work and Telecommuting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9.2 Implementation Procedures for Remote Work and Telecommuting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9.3 Implementation Procedures for Remote Work and Telecommuting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10. Security Responsibilities and Data Protection</w:t>
      </w:r>
    </w:p>
    <w:p>
      <w:pPr/>
      <w:r>
        <w:t>This section establishes the Vistara Global Systems framework regarding Security Responsibilities and Data Protection. Our organization, spanning 1,087 employees across India (Bengaluru, Hyderabad, Pune, Mumbai, Gurugram, Chennai, Kolkata, New Delhi) and internationally (Singapore, Dubai, London, Austin), relies on clear standards to maintain operational excellence.</w:t>
      </w:r>
    </w:p>
    <w:p>
      <w:pPr/>
      <w:r>
        <w:t>The provisions under Security Responsibilities and Data Protection apply uniformly, with specific regional variations handled through the HR Business Partner. Strict adherence is expected from all personnel.</w:t>
      </w:r>
    </w:p>
    <w:p>
      <w:pPr>
        <w:pStyle w:val="ListBullet"/>
      </w:pPr>
      <w:r>
        <w:t>Primary responsibility for Security Responsibilities and Data Protection rests with the employee and their reporting manager.</w:t>
      </w:r>
    </w:p>
    <w:p>
      <w:pPr>
        <w:pStyle w:val="ListBullet"/>
      </w:pPr>
      <w:r>
        <w:t>Vistara Global Systems integrates Security Responsibilities and Data Protection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10.1 Implementation Procedures for Security Responsibilities and Data Protection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10.2 Implementation Procedures for Security Responsibilities and Data Protection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10.3 Implementation Procedures for Security Responsibilities and Data Protection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11. Communication Standards and Email Etiquette</w:t>
      </w:r>
    </w:p>
    <w:p>
      <w:pPr/>
      <w:r>
        <w:t>This section establishes the Vistara Global Systems framework regarding Communication Standards and Email Etiquette. Our organization, spanning 1,087 employees across India (Bengaluru, Hyderabad, Pune, Mumbai, Gurugram, Chennai, Kolkata, New Delhi) and internationally (Singapore, Dubai, London, Austin), relies on clear standards to maintain operational excellence.</w:t>
      </w:r>
    </w:p>
    <w:p>
      <w:pPr/>
      <w:r>
        <w:t>The provisions under Communication Standards and Email Etiquette apply uniformly, with specific regional variations handled through the HR Business Partner. Strict adherence is expected from all personnel.</w:t>
      </w:r>
    </w:p>
    <w:p>
      <w:pPr>
        <w:pStyle w:val="ListBullet"/>
      </w:pPr>
      <w:r>
        <w:t>Primary responsibility for Communication Standards and Email Etiquette rests with the employee and their reporting manager.</w:t>
      </w:r>
    </w:p>
    <w:p>
      <w:pPr>
        <w:pStyle w:val="ListBullet"/>
      </w:pPr>
      <w:r>
        <w:t>Vistara Global Systems integrates Communication Standards and Email Etiquette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11.1 Implementation Procedures for Communication Standards and Email Etiquette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11.2 Implementation Procedures for Communication Standards and Email Etiquette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11.3 Implementation Procedures for Communication Standards and Email Etiquette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12. Performance Management and Appraisals</w:t>
      </w:r>
    </w:p>
    <w:p>
      <w:pPr/>
      <w:r>
        <w:t>This section establishes the Vistara Global Systems framework regarding Performance Management and Appraisals. Our organization, spanning 1,087 employees across India (Bengaluru, Hyderabad, Pune, Mumbai, Gurugram, Chennai, Kolkata, New Delhi) and internationally (Singapore, Dubai, London, Austin), relies on clear standards to maintain operational excellence.</w:t>
      </w:r>
    </w:p>
    <w:p>
      <w:pPr/>
      <w:r>
        <w:t>The provisions under Performance Management and Appraisals apply uniformly, with specific regional variations handled through the HR Business Partner. Strict adherence is expected from all personnel.</w:t>
      </w:r>
    </w:p>
    <w:p>
      <w:pPr>
        <w:pStyle w:val="ListBullet"/>
      </w:pPr>
      <w:r>
        <w:t>Primary responsibility for Performance Management and Appraisals rests with the employee and their reporting manager.</w:t>
      </w:r>
    </w:p>
    <w:p>
      <w:pPr>
        <w:pStyle w:val="ListBullet"/>
      </w:pPr>
      <w:r>
        <w:t>Vistara Global Systems integrates Performance Management and Appraisals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Role</w:t>
            </w:r>
          </w:p>
        </w:tc>
        <w:tc>
          <w:tcPr>
            <w:tcW w:type="dxa" w:w="3120"/>
            <w:shd w:fill="1B3A5C" w:val="clear"/>
          </w:tcPr>
          <w:p>
            <w:pPr>
              <w:jc w:val="center"/>
            </w:pPr>
            <w:r>
              <w:rPr>
                <w:rFonts w:ascii="Calibri" w:hAnsi="Calibri"/>
                <w:b/>
                <w:color w:val="FFFFFF"/>
                <w:sz w:val="20"/>
              </w:rPr>
              <w:t>Responsibility regarding Performance Man</w:t>
            </w:r>
          </w:p>
        </w:tc>
        <w:tc>
          <w:tcPr>
            <w:tcW w:type="dxa" w:w="3120"/>
            <w:shd w:fill="1B3A5C" w:val="clear"/>
          </w:tcPr>
          <w:p>
            <w:pPr>
              <w:jc w:val="center"/>
            </w:pPr>
            <w:r>
              <w:rPr>
                <w:rFonts w:ascii="Calibri" w:hAnsi="Calibri"/>
                <w:b/>
                <w:color w:val="FFFFFF"/>
                <w:sz w:val="20"/>
              </w:rPr>
              <w:t>SLA/Timeline</w:t>
            </w:r>
          </w:p>
        </w:tc>
      </w:tr>
      <w:tr>
        <w:tc>
          <w:tcPr>
            <w:tcW w:type="dxa" w:w="3120"/>
          </w:tcPr>
          <w:p>
            <w:r>
              <w:rPr>
                <w:rFonts w:ascii="Calibri" w:hAnsi="Calibri"/>
                <w:color w:val="333333"/>
                <w:sz w:val="18"/>
              </w:rPr>
              <w:t>Employee</w:t>
            </w:r>
          </w:p>
        </w:tc>
        <w:tc>
          <w:tcPr>
            <w:tcW w:type="dxa" w:w="3120"/>
          </w:tcPr>
          <w:p>
            <w:r>
              <w:rPr>
                <w:rFonts w:ascii="Calibri" w:hAnsi="Calibri"/>
                <w:color w:val="333333"/>
                <w:sz w:val="18"/>
              </w:rPr>
              <w:t>Initiate and comply with guidelines</w:t>
            </w:r>
          </w:p>
        </w:tc>
        <w:tc>
          <w:tcPr>
            <w:tcW w:type="dxa" w:w="3120"/>
          </w:tcPr>
          <w:p>
            <w:r>
              <w:rPr>
                <w:rFonts w:ascii="Calibri" w:hAnsi="Calibri"/>
                <w:color w:val="333333"/>
                <w:sz w:val="18"/>
              </w:rPr>
              <w:t>Immediate</w:t>
            </w:r>
          </w:p>
        </w:tc>
      </w:tr>
      <w:tr>
        <w:tc>
          <w:tcPr>
            <w:tcW w:type="dxa" w:w="3120"/>
            <w:shd w:fill="F2F6FA" w:val="clear"/>
          </w:tcPr>
          <w:p>
            <w:r>
              <w:rPr>
                <w:rFonts w:ascii="Calibri" w:hAnsi="Calibri"/>
                <w:color w:val="333333"/>
                <w:sz w:val="18"/>
              </w:rPr>
              <w:t>Manager</w:t>
            </w:r>
          </w:p>
        </w:tc>
        <w:tc>
          <w:tcPr>
            <w:tcW w:type="dxa" w:w="3120"/>
            <w:shd w:fill="F2F6FA" w:val="clear"/>
          </w:tcPr>
          <w:p>
            <w:r>
              <w:rPr>
                <w:rFonts w:ascii="Calibri" w:hAnsi="Calibri"/>
                <w:color w:val="333333"/>
                <w:sz w:val="18"/>
              </w:rPr>
              <w:t>Review and approve/reject</w:t>
            </w:r>
          </w:p>
        </w:tc>
        <w:tc>
          <w:tcPr>
            <w:tcW w:type="dxa" w:w="3120"/>
            <w:shd w:fill="F2F6FA" w:val="clear"/>
          </w:tcPr>
          <w:p>
            <w:r>
              <w:rPr>
                <w:rFonts w:ascii="Calibri" w:hAnsi="Calibri"/>
                <w:color w:val="333333"/>
                <w:sz w:val="18"/>
              </w:rPr>
              <w:t>48 Hours</w:t>
            </w:r>
          </w:p>
        </w:tc>
      </w:tr>
      <w:tr>
        <w:tc>
          <w:tcPr>
            <w:tcW w:type="dxa" w:w="3120"/>
          </w:tcPr>
          <w:p>
            <w:r>
              <w:rPr>
                <w:rFonts w:ascii="Calibri" w:hAnsi="Calibri"/>
                <w:color w:val="333333"/>
                <w:sz w:val="18"/>
              </w:rPr>
              <w:t>HR / Admin</w:t>
            </w:r>
          </w:p>
        </w:tc>
        <w:tc>
          <w:tcPr>
            <w:tcW w:type="dxa" w:w="3120"/>
          </w:tcPr>
          <w:p>
            <w:r>
              <w:rPr>
                <w:rFonts w:ascii="Calibri" w:hAnsi="Calibri"/>
                <w:color w:val="333333"/>
                <w:sz w:val="18"/>
              </w:rPr>
              <w:t>Audit and process final records</w:t>
            </w:r>
          </w:p>
        </w:tc>
        <w:tc>
          <w:tcPr>
            <w:tcW w:type="dxa" w:w="3120"/>
          </w:tcPr>
          <w:p>
            <w:r>
              <w:rPr>
                <w:rFonts w:ascii="Calibri" w:hAnsi="Calibri"/>
                <w:color w:val="333333"/>
                <w:sz w:val="18"/>
              </w:rPr>
              <w:t>5 Business Days</w:t>
            </w:r>
          </w:p>
        </w:tc>
      </w:tr>
    </w:tbl>
    <w:p/>
    <w:p>
      <w:pPr>
        <w:pStyle w:val="Heading2"/>
      </w:pPr>
      <w:r>
        <w:t>12.1 Implementation Procedures for Performance Management and Appraisals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12.2 Implementation Procedures for Performance Management and Appraisals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12.3 Implementation Procedures for Performance Management and Appraisals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13. Training and Development Requirements</w:t>
      </w:r>
    </w:p>
    <w:p>
      <w:pPr/>
      <w:r>
        <w:t>This section establishes the Vistara Global Systems framework regarding Training and Development Requirements. Our organization, spanning 1,087 employees across India (Bengaluru, Hyderabad, Pune, Mumbai, Gurugram, Chennai, Kolkata, New Delhi) and internationally (Singapore, Dubai, London, Austin), relies on clear standards to maintain operational excellence.</w:t>
      </w:r>
    </w:p>
    <w:p>
      <w:pPr/>
      <w:r>
        <w:t>The provisions under Training and Development Requirements apply uniformly, with specific regional variations handled through the HR Business Partner. Strict adherence is expected from all personnel.</w:t>
      </w:r>
    </w:p>
    <w:p>
      <w:pPr>
        <w:pStyle w:val="ListBullet"/>
      </w:pPr>
      <w:r>
        <w:t>Primary responsibility for Training and Development Requirements rests with the employee and their reporting manager.</w:t>
      </w:r>
    </w:p>
    <w:p>
      <w:pPr>
        <w:pStyle w:val="ListBullet"/>
      </w:pPr>
      <w:r>
        <w:t>Vistara Global Systems integrates Training and Development Requirements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13.1 Implementation Procedures for Training and Development Requirements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13.2 Implementation Procedures for Training and Development Requirements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13.3 Implementation Procedures for Training and Development Requirements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14. Grievance Process and Resolution</w:t>
      </w:r>
    </w:p>
    <w:p>
      <w:pPr/>
      <w:r>
        <w:t>This section establishes the Vistara Global Systems framework regarding Grievance Process and Resolution. Our organization, spanning 1,087 employees across India (Bengaluru, Hyderabad, Pune, Mumbai, Gurugram, Chennai, Kolkata, New Delhi) and internationally (Singapore, Dubai, London, Austin), relies on clear standards to maintain operational excellence.</w:t>
      </w:r>
    </w:p>
    <w:p>
      <w:pPr/>
      <w:r>
        <w:t>The provisions under Grievance Process and Resolution apply uniformly, with specific regional variations handled through the HR Business Partner. Strict adherence is expected from all personnel.</w:t>
      </w:r>
    </w:p>
    <w:p>
      <w:pPr>
        <w:pStyle w:val="ListBullet"/>
      </w:pPr>
      <w:r>
        <w:t>Primary responsibility for Grievance Process and Resolution rests with the employee and their reporting manager.</w:t>
      </w:r>
    </w:p>
    <w:p>
      <w:pPr>
        <w:pStyle w:val="ListBullet"/>
      </w:pPr>
      <w:r>
        <w:t>Vistara Global Systems integrates Grievance Process and Resolution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14.1 Implementation Procedures for Grievance Process and Resolution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14.2 Implementation Procedures for Grievance Process and Resolution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14.3 Implementation Procedures for Grievance Process and Resolution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15. Disciplinary Process and Consequences</w:t>
      </w:r>
    </w:p>
    <w:p>
      <w:pPr/>
      <w:r>
        <w:t>This section establishes the Vistara Global Systems framework regarding Disciplinary Process and Consequences. Our organization, spanning 1,087 employees across India (Bengaluru, Hyderabad, Pune, Mumbai, Gurugram, Chennai, Kolkata, New Delhi) and internationally (Singapore, Dubai, London, Austin), relies on clear standards to maintain operational excellence.</w:t>
      </w:r>
    </w:p>
    <w:p>
      <w:pPr/>
      <w:r>
        <w:t>The provisions under Disciplinary Process and Consequences apply uniformly, with specific regional variations handled through the HR Business Partner. Strict adherence is expected from all personnel.</w:t>
      </w:r>
    </w:p>
    <w:p>
      <w:pPr>
        <w:pStyle w:val="ListBullet"/>
      </w:pPr>
      <w:r>
        <w:t>Primary responsibility for Disciplinary Process and Consequences rests with the employee and their reporting manager.</w:t>
      </w:r>
    </w:p>
    <w:p>
      <w:pPr>
        <w:pStyle w:val="ListBullet"/>
      </w:pPr>
      <w:r>
        <w:t>Vistara Global Systems integrates Disciplinary Process and Consequences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15.1 Implementation Procedures for Disciplinary Process and Consequences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15.2 Implementation Procedures for Disciplinary Process and Consequences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15.3 Implementation Procedures for Disciplinary Process and Consequences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16. Separation Procedures and Offboarding</w:t>
      </w:r>
    </w:p>
    <w:p>
      <w:pPr/>
      <w:r>
        <w:t>This section establishes the Vistara Global Systems framework regarding Separation Procedures and Offboarding. Our organization, spanning 1,087 employees across India (Bengaluru, Hyderabad, Pune, Mumbai, Gurugram, Chennai, Kolkata, New Delhi) and internationally (Singapore, Dubai, London, Austin), relies on clear standards to maintain operational excellence.</w:t>
      </w:r>
    </w:p>
    <w:p>
      <w:pPr/>
      <w:r>
        <w:t>The provisions under Separation Procedures and Offboarding apply uniformly, with specific regional variations handled through the HR Business Partner. Strict adherence is expected from all personnel.</w:t>
      </w:r>
    </w:p>
    <w:p>
      <w:pPr>
        <w:pStyle w:val="ListBullet"/>
      </w:pPr>
      <w:r>
        <w:t>Primary responsibility for Separation Procedures and Offboarding rests with the employee and their reporting manager.</w:t>
      </w:r>
    </w:p>
    <w:p>
      <w:pPr>
        <w:pStyle w:val="ListBullet"/>
      </w:pPr>
      <w:r>
        <w:t>Vistara Global Systems integrates Separation Procedures and Offboarding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Role</w:t>
            </w:r>
          </w:p>
        </w:tc>
        <w:tc>
          <w:tcPr>
            <w:tcW w:type="dxa" w:w="3120"/>
            <w:shd w:fill="1B3A5C" w:val="clear"/>
          </w:tcPr>
          <w:p>
            <w:pPr>
              <w:jc w:val="center"/>
            </w:pPr>
            <w:r>
              <w:rPr>
                <w:rFonts w:ascii="Calibri" w:hAnsi="Calibri"/>
                <w:b/>
                <w:color w:val="FFFFFF"/>
                <w:sz w:val="20"/>
              </w:rPr>
              <w:t>Responsibility regarding Separation Proc</w:t>
            </w:r>
          </w:p>
        </w:tc>
        <w:tc>
          <w:tcPr>
            <w:tcW w:type="dxa" w:w="3120"/>
            <w:shd w:fill="1B3A5C" w:val="clear"/>
          </w:tcPr>
          <w:p>
            <w:pPr>
              <w:jc w:val="center"/>
            </w:pPr>
            <w:r>
              <w:rPr>
                <w:rFonts w:ascii="Calibri" w:hAnsi="Calibri"/>
                <w:b/>
                <w:color w:val="FFFFFF"/>
                <w:sz w:val="20"/>
              </w:rPr>
              <w:t>SLA/Timeline</w:t>
            </w:r>
          </w:p>
        </w:tc>
      </w:tr>
      <w:tr>
        <w:tc>
          <w:tcPr>
            <w:tcW w:type="dxa" w:w="3120"/>
          </w:tcPr>
          <w:p>
            <w:r>
              <w:rPr>
                <w:rFonts w:ascii="Calibri" w:hAnsi="Calibri"/>
                <w:color w:val="333333"/>
                <w:sz w:val="18"/>
              </w:rPr>
              <w:t>Employee</w:t>
            </w:r>
          </w:p>
        </w:tc>
        <w:tc>
          <w:tcPr>
            <w:tcW w:type="dxa" w:w="3120"/>
          </w:tcPr>
          <w:p>
            <w:r>
              <w:rPr>
                <w:rFonts w:ascii="Calibri" w:hAnsi="Calibri"/>
                <w:color w:val="333333"/>
                <w:sz w:val="18"/>
              </w:rPr>
              <w:t>Initiate and comply with guidelines</w:t>
            </w:r>
          </w:p>
        </w:tc>
        <w:tc>
          <w:tcPr>
            <w:tcW w:type="dxa" w:w="3120"/>
          </w:tcPr>
          <w:p>
            <w:r>
              <w:rPr>
                <w:rFonts w:ascii="Calibri" w:hAnsi="Calibri"/>
                <w:color w:val="333333"/>
                <w:sz w:val="18"/>
              </w:rPr>
              <w:t>Immediate</w:t>
            </w:r>
          </w:p>
        </w:tc>
      </w:tr>
      <w:tr>
        <w:tc>
          <w:tcPr>
            <w:tcW w:type="dxa" w:w="3120"/>
            <w:shd w:fill="F2F6FA" w:val="clear"/>
          </w:tcPr>
          <w:p>
            <w:r>
              <w:rPr>
                <w:rFonts w:ascii="Calibri" w:hAnsi="Calibri"/>
                <w:color w:val="333333"/>
                <w:sz w:val="18"/>
              </w:rPr>
              <w:t>Manager</w:t>
            </w:r>
          </w:p>
        </w:tc>
        <w:tc>
          <w:tcPr>
            <w:tcW w:type="dxa" w:w="3120"/>
            <w:shd w:fill="F2F6FA" w:val="clear"/>
          </w:tcPr>
          <w:p>
            <w:r>
              <w:rPr>
                <w:rFonts w:ascii="Calibri" w:hAnsi="Calibri"/>
                <w:color w:val="333333"/>
                <w:sz w:val="18"/>
              </w:rPr>
              <w:t>Review and approve/reject</w:t>
            </w:r>
          </w:p>
        </w:tc>
        <w:tc>
          <w:tcPr>
            <w:tcW w:type="dxa" w:w="3120"/>
            <w:shd w:fill="F2F6FA" w:val="clear"/>
          </w:tcPr>
          <w:p>
            <w:r>
              <w:rPr>
                <w:rFonts w:ascii="Calibri" w:hAnsi="Calibri"/>
                <w:color w:val="333333"/>
                <w:sz w:val="18"/>
              </w:rPr>
              <w:t>48 Hours</w:t>
            </w:r>
          </w:p>
        </w:tc>
      </w:tr>
      <w:tr>
        <w:tc>
          <w:tcPr>
            <w:tcW w:type="dxa" w:w="3120"/>
          </w:tcPr>
          <w:p>
            <w:r>
              <w:rPr>
                <w:rFonts w:ascii="Calibri" w:hAnsi="Calibri"/>
                <w:color w:val="333333"/>
                <w:sz w:val="18"/>
              </w:rPr>
              <w:t>HR / Admin</w:t>
            </w:r>
          </w:p>
        </w:tc>
        <w:tc>
          <w:tcPr>
            <w:tcW w:type="dxa" w:w="3120"/>
          </w:tcPr>
          <w:p>
            <w:r>
              <w:rPr>
                <w:rFonts w:ascii="Calibri" w:hAnsi="Calibri"/>
                <w:color w:val="333333"/>
                <w:sz w:val="18"/>
              </w:rPr>
              <w:t>Audit and process final records</w:t>
            </w:r>
          </w:p>
        </w:tc>
        <w:tc>
          <w:tcPr>
            <w:tcW w:type="dxa" w:w="3120"/>
          </w:tcPr>
          <w:p>
            <w:r>
              <w:rPr>
                <w:rFonts w:ascii="Calibri" w:hAnsi="Calibri"/>
                <w:color w:val="333333"/>
                <w:sz w:val="18"/>
              </w:rPr>
              <w:t>5 Business Days</w:t>
            </w:r>
          </w:p>
        </w:tc>
      </w:tr>
    </w:tbl>
    <w:p/>
    <w:p>
      <w:pPr>
        <w:pStyle w:val="Heading2"/>
      </w:pPr>
      <w:r>
        <w:t>16.1 Implementation Procedures for Separation Procedures and Offboarding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16.2 Implementation Procedures for Separation Procedures and Offboarding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16.3 Implementation Procedures for Separation Procedures and Offboarding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17. Employee Resources and Assistance Programs</w:t>
      </w:r>
    </w:p>
    <w:p>
      <w:pPr/>
      <w:r>
        <w:t>This section establishes the Vistara Global Systems framework regarding Employee Resources and Assistance Programs. Our organization, spanning 1,087 employees across India (Bengaluru, Hyderabad, Pune, Mumbai, Gurugram, Chennai, Kolkata, New Delhi) and internationally (Singapore, Dubai, London, Austin), relies on clear standards to maintain operational excellence.</w:t>
      </w:r>
    </w:p>
    <w:p>
      <w:pPr/>
      <w:r>
        <w:t>The provisions under Employee Resources and Assistance Programs apply uniformly, with specific regional variations handled through the HR Business Partner. Strict adherence is expected from all personnel.</w:t>
      </w:r>
    </w:p>
    <w:p>
      <w:pPr>
        <w:pStyle w:val="ListBullet"/>
      </w:pPr>
      <w:r>
        <w:t>Primary responsibility for Employee Resources and Assistance Programs rests with the employee and their reporting manager.</w:t>
      </w:r>
    </w:p>
    <w:p>
      <w:pPr>
        <w:pStyle w:val="ListBullet"/>
      </w:pPr>
      <w:r>
        <w:t>Vistara Global Systems integrates Employee Resources and Assistance Programs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17.1 Implementation Procedures for Employee Resources and Assistance Programs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17.2 Implementation Procedures for Employee Resources and Assistance Programs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17.3 Implementation Procedures for Employee Resources and Assistance Programs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18. Manager and Leadership Responsibilities</w:t>
      </w:r>
    </w:p>
    <w:p>
      <w:pPr/>
      <w:r>
        <w:t>This section establishes the Vistara Global Systems framework regarding Manager and Leadership Responsibilities. Our organization, spanning 1,087 employees across India (Bengaluru, Hyderabad, Pune, Mumbai, Gurugram, Chennai, Kolkata, New Delhi) and internationally (Singapore, Dubai, London, Austin), relies on clear standards to maintain operational excellence.</w:t>
      </w:r>
    </w:p>
    <w:p>
      <w:pPr/>
      <w:r>
        <w:t>The provisions under Manager and Leadership Responsibilities apply uniformly, with specific regional variations handled through the HR Business Partner. Strict adherence is expected from all personnel.</w:t>
      </w:r>
    </w:p>
    <w:p>
      <w:pPr>
        <w:pStyle w:val="ListBullet"/>
      </w:pPr>
      <w:r>
        <w:t>Primary responsibility for Manager and Leadership Responsibilities rests with the employee and their reporting manager.</w:t>
      </w:r>
    </w:p>
    <w:p>
      <w:pPr>
        <w:pStyle w:val="ListBullet"/>
      </w:pPr>
      <w:r>
        <w:t>Vistara Global Systems integrates Manager and Leadership Responsibilities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18.1 Implementation Procedures for Manager and Leadership Responsibilities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18.2 Implementation Procedures for Manager and Leadership Responsibilities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18.3 Implementation Procedures for Manager and Leadership Responsibilities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19. Diversity, Equity, and Inclusion (DEI)</w:t>
      </w:r>
    </w:p>
    <w:p>
      <w:pPr/>
      <w:r>
        <w:t>This section establishes the Vistara Global Systems framework regarding Diversity, Equity, and Inclusion (DEI). Our organization, spanning 1,087 employees across India (Bengaluru, Hyderabad, Pune, Mumbai, Gurugram, Chennai, Kolkata, New Delhi) and internationally (Singapore, Dubai, London, Austin), relies on clear standards to maintain operational excellence.</w:t>
      </w:r>
    </w:p>
    <w:p>
      <w:pPr/>
      <w:r>
        <w:t>The provisions under Diversity, Equity, and Inclusion (DEI) apply uniformly, with specific regional variations handled through the HR Business Partner. Strict adherence is expected from all personnel.</w:t>
      </w:r>
    </w:p>
    <w:p>
      <w:pPr>
        <w:pStyle w:val="ListBullet"/>
      </w:pPr>
      <w:r>
        <w:t>Primary responsibility for Diversity, Equity, and Inclusion (DEI) rests with the employee and their reporting manager.</w:t>
      </w:r>
    </w:p>
    <w:p>
      <w:pPr>
        <w:pStyle w:val="ListBullet"/>
      </w:pPr>
      <w:r>
        <w:t>Vistara Global Systems integrates Diversity, Equity, and Inclusion (DEI)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19.1 Implementation Procedures for Diversity, Equity, and Inclusion (DEI)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19.2 Implementation Procedures for Diversity, Equity, and Inclusion (DEI)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19.3 Implementation Procedures for Diversity, Equity, and Inclusion (DEI)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20. Health and Safety in the Workplace</w:t>
      </w:r>
    </w:p>
    <w:p>
      <w:pPr/>
      <w:r>
        <w:t>This section establishes the Vistara Global Systems framework regarding Health and Safety in the Workplace. Our organization, spanning 1,087 employees across India (Bengaluru, Hyderabad, Pune, Mumbai, Gurugram, Chennai, Kolkata, New Delhi) and internationally (Singapore, Dubai, London, Austin), relies on clear standards to maintain operational excellence.</w:t>
      </w:r>
    </w:p>
    <w:p>
      <w:pPr/>
      <w:r>
        <w:t>The provisions under Health and Safety in the Workplace apply uniformly, with specific regional variations handled through the HR Business Partner. Strict adherence is expected from all personnel.</w:t>
      </w:r>
    </w:p>
    <w:p>
      <w:pPr>
        <w:pStyle w:val="ListBullet"/>
      </w:pPr>
      <w:r>
        <w:t>Primary responsibility for Health and Safety in the Workplace rests with the employee and their reporting manager.</w:t>
      </w:r>
    </w:p>
    <w:p>
      <w:pPr>
        <w:pStyle w:val="ListBullet"/>
      </w:pPr>
      <w:r>
        <w:t>Vistara Global Systems integrates Health and Safety in the Workplace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Role</w:t>
            </w:r>
          </w:p>
        </w:tc>
        <w:tc>
          <w:tcPr>
            <w:tcW w:type="dxa" w:w="3120"/>
            <w:shd w:fill="1B3A5C" w:val="clear"/>
          </w:tcPr>
          <w:p>
            <w:pPr>
              <w:jc w:val="center"/>
            </w:pPr>
            <w:r>
              <w:rPr>
                <w:rFonts w:ascii="Calibri" w:hAnsi="Calibri"/>
                <w:b/>
                <w:color w:val="FFFFFF"/>
                <w:sz w:val="20"/>
              </w:rPr>
              <w:t>Responsibility regarding Health and Safe</w:t>
            </w:r>
          </w:p>
        </w:tc>
        <w:tc>
          <w:tcPr>
            <w:tcW w:type="dxa" w:w="3120"/>
            <w:shd w:fill="1B3A5C" w:val="clear"/>
          </w:tcPr>
          <w:p>
            <w:pPr>
              <w:jc w:val="center"/>
            </w:pPr>
            <w:r>
              <w:rPr>
                <w:rFonts w:ascii="Calibri" w:hAnsi="Calibri"/>
                <w:b/>
                <w:color w:val="FFFFFF"/>
                <w:sz w:val="20"/>
              </w:rPr>
              <w:t>SLA/Timeline</w:t>
            </w:r>
          </w:p>
        </w:tc>
      </w:tr>
      <w:tr>
        <w:tc>
          <w:tcPr>
            <w:tcW w:type="dxa" w:w="3120"/>
          </w:tcPr>
          <w:p>
            <w:r>
              <w:rPr>
                <w:rFonts w:ascii="Calibri" w:hAnsi="Calibri"/>
                <w:color w:val="333333"/>
                <w:sz w:val="18"/>
              </w:rPr>
              <w:t>Employee</w:t>
            </w:r>
          </w:p>
        </w:tc>
        <w:tc>
          <w:tcPr>
            <w:tcW w:type="dxa" w:w="3120"/>
          </w:tcPr>
          <w:p>
            <w:r>
              <w:rPr>
                <w:rFonts w:ascii="Calibri" w:hAnsi="Calibri"/>
                <w:color w:val="333333"/>
                <w:sz w:val="18"/>
              </w:rPr>
              <w:t>Initiate and comply with guidelines</w:t>
            </w:r>
          </w:p>
        </w:tc>
        <w:tc>
          <w:tcPr>
            <w:tcW w:type="dxa" w:w="3120"/>
          </w:tcPr>
          <w:p>
            <w:r>
              <w:rPr>
                <w:rFonts w:ascii="Calibri" w:hAnsi="Calibri"/>
                <w:color w:val="333333"/>
                <w:sz w:val="18"/>
              </w:rPr>
              <w:t>Immediate</w:t>
            </w:r>
          </w:p>
        </w:tc>
      </w:tr>
      <w:tr>
        <w:tc>
          <w:tcPr>
            <w:tcW w:type="dxa" w:w="3120"/>
            <w:shd w:fill="F2F6FA" w:val="clear"/>
          </w:tcPr>
          <w:p>
            <w:r>
              <w:rPr>
                <w:rFonts w:ascii="Calibri" w:hAnsi="Calibri"/>
                <w:color w:val="333333"/>
                <w:sz w:val="18"/>
              </w:rPr>
              <w:t>Manager</w:t>
            </w:r>
          </w:p>
        </w:tc>
        <w:tc>
          <w:tcPr>
            <w:tcW w:type="dxa" w:w="3120"/>
            <w:shd w:fill="F2F6FA" w:val="clear"/>
          </w:tcPr>
          <w:p>
            <w:r>
              <w:rPr>
                <w:rFonts w:ascii="Calibri" w:hAnsi="Calibri"/>
                <w:color w:val="333333"/>
                <w:sz w:val="18"/>
              </w:rPr>
              <w:t>Review and approve/reject</w:t>
            </w:r>
          </w:p>
        </w:tc>
        <w:tc>
          <w:tcPr>
            <w:tcW w:type="dxa" w:w="3120"/>
            <w:shd w:fill="F2F6FA" w:val="clear"/>
          </w:tcPr>
          <w:p>
            <w:r>
              <w:rPr>
                <w:rFonts w:ascii="Calibri" w:hAnsi="Calibri"/>
                <w:color w:val="333333"/>
                <w:sz w:val="18"/>
              </w:rPr>
              <w:t>48 Hours</w:t>
            </w:r>
          </w:p>
        </w:tc>
      </w:tr>
      <w:tr>
        <w:tc>
          <w:tcPr>
            <w:tcW w:type="dxa" w:w="3120"/>
          </w:tcPr>
          <w:p>
            <w:r>
              <w:rPr>
                <w:rFonts w:ascii="Calibri" w:hAnsi="Calibri"/>
                <w:color w:val="333333"/>
                <w:sz w:val="18"/>
              </w:rPr>
              <w:t>HR / Admin</w:t>
            </w:r>
          </w:p>
        </w:tc>
        <w:tc>
          <w:tcPr>
            <w:tcW w:type="dxa" w:w="3120"/>
          </w:tcPr>
          <w:p>
            <w:r>
              <w:rPr>
                <w:rFonts w:ascii="Calibri" w:hAnsi="Calibri"/>
                <w:color w:val="333333"/>
                <w:sz w:val="18"/>
              </w:rPr>
              <w:t>Audit and process final records</w:t>
            </w:r>
          </w:p>
        </w:tc>
        <w:tc>
          <w:tcPr>
            <w:tcW w:type="dxa" w:w="3120"/>
          </w:tcPr>
          <w:p>
            <w:r>
              <w:rPr>
                <w:rFonts w:ascii="Calibri" w:hAnsi="Calibri"/>
                <w:color w:val="333333"/>
                <w:sz w:val="18"/>
              </w:rPr>
              <w:t>5 Business Days</w:t>
            </w:r>
          </w:p>
        </w:tc>
      </w:tr>
    </w:tbl>
    <w:p/>
    <w:p>
      <w:pPr>
        <w:pStyle w:val="Heading2"/>
      </w:pPr>
      <w:r>
        <w:t>20.1 Implementation Procedures for Health and Safety in the Workplace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20.2 Implementation Procedures for Health and Safety in the Workplace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20.3 Implementation Procedures for Health and Safety in the Workplace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21. Travel and Expense Overview</w:t>
      </w:r>
    </w:p>
    <w:p>
      <w:pPr/>
      <w:r>
        <w:t>This section establishes the Vistara Global Systems framework regarding Travel and Expense Overview. Our organization, spanning 1,087 employees across India (Bengaluru, Hyderabad, Pune, Mumbai, Gurugram, Chennai, Kolkata, New Delhi) and internationally (Singapore, Dubai, London, Austin), relies on clear standards to maintain operational excellence.</w:t>
      </w:r>
    </w:p>
    <w:p>
      <w:pPr/>
      <w:r>
        <w:t>The provisions under Travel and Expense Overview apply uniformly, with specific regional variations handled through the HR Business Partner. Strict adherence is expected from all personnel.</w:t>
      </w:r>
    </w:p>
    <w:p>
      <w:pPr>
        <w:pStyle w:val="ListBullet"/>
      </w:pPr>
      <w:r>
        <w:t>Primary responsibility for Travel and Expense Overview rests with the employee and their reporting manager.</w:t>
      </w:r>
    </w:p>
    <w:p>
      <w:pPr>
        <w:pStyle w:val="ListBullet"/>
      </w:pPr>
      <w:r>
        <w:t>Vistara Global Systems integrates Travel and Expense Overview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21.1 Implementation Procedures for Travel and Expense Overview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21.2 Implementation Procedures for Travel and Expense Overview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21.3 Implementation Procedures for Travel and Expense Overview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22. Intellectual Property and Invention Assignment</w:t>
      </w:r>
    </w:p>
    <w:p>
      <w:pPr/>
      <w:r>
        <w:t>This section establishes the Vistara Global Systems framework regarding Intellectual Property and Invention Assignment. Our organization, spanning 1,087 employees across India (Bengaluru, Hyderabad, Pune, Mumbai, Gurugram, Chennai, Kolkata, New Delhi) and internationally (Singapore, Dubai, London, Austin), relies on clear standards to maintain operational excellence.</w:t>
      </w:r>
    </w:p>
    <w:p>
      <w:pPr/>
      <w:r>
        <w:t>The provisions under Intellectual Property and Invention Assignment apply uniformly, with specific regional variations handled through the HR Business Partner. Strict adherence is expected from all personnel.</w:t>
      </w:r>
    </w:p>
    <w:p>
      <w:pPr>
        <w:pStyle w:val="ListBullet"/>
      </w:pPr>
      <w:r>
        <w:t>Primary responsibility for Intellectual Property and Invention Assignment rests with the employee and their reporting manager.</w:t>
      </w:r>
    </w:p>
    <w:p>
      <w:pPr>
        <w:pStyle w:val="ListBullet"/>
      </w:pPr>
      <w:r>
        <w:t>Vistara Global Systems integrates Intellectual Property and Invention Assignment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22.1 Implementation Procedures for Intellectual Property and Invention Assignment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22.2 Implementation Procedures for Intellectual Property and Invention Assignment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22.3 Implementation Procedures for Intellectual Property and Invention Assignment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23. Use of AI and Enterprise Software</w:t>
      </w:r>
    </w:p>
    <w:p>
      <w:pPr/>
      <w:r>
        <w:t>This section establishes the Vistara Global Systems framework regarding Use of AI and Enterprise Software. Our organization, spanning 1,087 employees across India (Bengaluru, Hyderabad, Pune, Mumbai, Gurugram, Chennai, Kolkata, New Delhi) and internationally (Singapore, Dubai, London, Austin), relies on clear standards to maintain operational excellence.</w:t>
      </w:r>
    </w:p>
    <w:p>
      <w:pPr/>
      <w:r>
        <w:t>The provisions under Use of AI and Enterprise Software apply uniformly, with specific regional variations handled through the HR Business Partner. Strict adherence is expected from all personnel.</w:t>
      </w:r>
    </w:p>
    <w:p>
      <w:pPr>
        <w:pStyle w:val="ListBullet"/>
      </w:pPr>
      <w:r>
        <w:t>Primary responsibility for Use of AI and Enterprise Software rests with the employee and their reporting manager.</w:t>
      </w:r>
    </w:p>
    <w:p>
      <w:pPr>
        <w:pStyle w:val="ListBullet"/>
      </w:pPr>
      <w:r>
        <w:t>Vistara Global Systems integrates Use of AI and Enterprise Software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23.1 Implementation Procedures for Use of AI and Enterprise Software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23.2 Implementation Procedures for Use of AI and Enterprise Software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23.3 Implementation Procedures for Use of AI and Enterprise Software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24. Cybersecurity Best Practices</w:t>
      </w:r>
    </w:p>
    <w:p>
      <w:pPr/>
      <w:r>
        <w:t>This section establishes the Vistara Global Systems framework regarding Cybersecurity Best Practices. Our organization, spanning 1,087 employees across India (Bengaluru, Hyderabad, Pune, Mumbai, Gurugram, Chennai, Kolkata, New Delhi) and internationally (Singapore, Dubai, London, Austin), relies on clear standards to maintain operational excellence.</w:t>
      </w:r>
    </w:p>
    <w:p>
      <w:pPr/>
      <w:r>
        <w:t>The provisions under Cybersecurity Best Practices apply uniformly, with specific regional variations handled through the HR Business Partner. Strict adherence is expected from all personnel.</w:t>
      </w:r>
    </w:p>
    <w:p>
      <w:pPr>
        <w:pStyle w:val="ListBullet"/>
      </w:pPr>
      <w:r>
        <w:t>Primary responsibility for Cybersecurity Best Practices rests with the employee and their reporting manager.</w:t>
      </w:r>
    </w:p>
    <w:p>
      <w:pPr>
        <w:pStyle w:val="ListBullet"/>
      </w:pPr>
      <w:r>
        <w:t>Vistara Global Systems integrates Cybersecurity Best Practices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Role</w:t>
            </w:r>
          </w:p>
        </w:tc>
        <w:tc>
          <w:tcPr>
            <w:tcW w:type="dxa" w:w="3120"/>
            <w:shd w:fill="1B3A5C" w:val="clear"/>
          </w:tcPr>
          <w:p>
            <w:pPr>
              <w:jc w:val="center"/>
            </w:pPr>
            <w:r>
              <w:rPr>
                <w:rFonts w:ascii="Calibri" w:hAnsi="Calibri"/>
                <w:b/>
                <w:color w:val="FFFFFF"/>
                <w:sz w:val="20"/>
              </w:rPr>
              <w:t>Responsibility regarding Cybersecurity B</w:t>
            </w:r>
          </w:p>
        </w:tc>
        <w:tc>
          <w:tcPr>
            <w:tcW w:type="dxa" w:w="3120"/>
            <w:shd w:fill="1B3A5C" w:val="clear"/>
          </w:tcPr>
          <w:p>
            <w:pPr>
              <w:jc w:val="center"/>
            </w:pPr>
            <w:r>
              <w:rPr>
                <w:rFonts w:ascii="Calibri" w:hAnsi="Calibri"/>
                <w:b/>
                <w:color w:val="FFFFFF"/>
                <w:sz w:val="20"/>
              </w:rPr>
              <w:t>SLA/Timeline</w:t>
            </w:r>
          </w:p>
        </w:tc>
      </w:tr>
      <w:tr>
        <w:tc>
          <w:tcPr>
            <w:tcW w:type="dxa" w:w="3120"/>
          </w:tcPr>
          <w:p>
            <w:r>
              <w:rPr>
                <w:rFonts w:ascii="Calibri" w:hAnsi="Calibri"/>
                <w:color w:val="333333"/>
                <w:sz w:val="18"/>
              </w:rPr>
              <w:t>Employee</w:t>
            </w:r>
          </w:p>
        </w:tc>
        <w:tc>
          <w:tcPr>
            <w:tcW w:type="dxa" w:w="3120"/>
          </w:tcPr>
          <w:p>
            <w:r>
              <w:rPr>
                <w:rFonts w:ascii="Calibri" w:hAnsi="Calibri"/>
                <w:color w:val="333333"/>
                <w:sz w:val="18"/>
              </w:rPr>
              <w:t>Initiate and comply with guidelines</w:t>
            </w:r>
          </w:p>
        </w:tc>
        <w:tc>
          <w:tcPr>
            <w:tcW w:type="dxa" w:w="3120"/>
          </w:tcPr>
          <w:p>
            <w:r>
              <w:rPr>
                <w:rFonts w:ascii="Calibri" w:hAnsi="Calibri"/>
                <w:color w:val="333333"/>
                <w:sz w:val="18"/>
              </w:rPr>
              <w:t>Immediate</w:t>
            </w:r>
          </w:p>
        </w:tc>
      </w:tr>
      <w:tr>
        <w:tc>
          <w:tcPr>
            <w:tcW w:type="dxa" w:w="3120"/>
            <w:shd w:fill="F2F6FA" w:val="clear"/>
          </w:tcPr>
          <w:p>
            <w:r>
              <w:rPr>
                <w:rFonts w:ascii="Calibri" w:hAnsi="Calibri"/>
                <w:color w:val="333333"/>
                <w:sz w:val="18"/>
              </w:rPr>
              <w:t>Manager</w:t>
            </w:r>
          </w:p>
        </w:tc>
        <w:tc>
          <w:tcPr>
            <w:tcW w:type="dxa" w:w="3120"/>
            <w:shd w:fill="F2F6FA" w:val="clear"/>
          </w:tcPr>
          <w:p>
            <w:r>
              <w:rPr>
                <w:rFonts w:ascii="Calibri" w:hAnsi="Calibri"/>
                <w:color w:val="333333"/>
                <w:sz w:val="18"/>
              </w:rPr>
              <w:t>Review and approve/reject</w:t>
            </w:r>
          </w:p>
        </w:tc>
        <w:tc>
          <w:tcPr>
            <w:tcW w:type="dxa" w:w="3120"/>
            <w:shd w:fill="F2F6FA" w:val="clear"/>
          </w:tcPr>
          <w:p>
            <w:r>
              <w:rPr>
                <w:rFonts w:ascii="Calibri" w:hAnsi="Calibri"/>
                <w:color w:val="333333"/>
                <w:sz w:val="18"/>
              </w:rPr>
              <w:t>48 Hours</w:t>
            </w:r>
          </w:p>
        </w:tc>
      </w:tr>
      <w:tr>
        <w:tc>
          <w:tcPr>
            <w:tcW w:type="dxa" w:w="3120"/>
          </w:tcPr>
          <w:p>
            <w:r>
              <w:rPr>
                <w:rFonts w:ascii="Calibri" w:hAnsi="Calibri"/>
                <w:color w:val="333333"/>
                <w:sz w:val="18"/>
              </w:rPr>
              <w:t>HR / Admin</w:t>
            </w:r>
          </w:p>
        </w:tc>
        <w:tc>
          <w:tcPr>
            <w:tcW w:type="dxa" w:w="3120"/>
          </w:tcPr>
          <w:p>
            <w:r>
              <w:rPr>
                <w:rFonts w:ascii="Calibri" w:hAnsi="Calibri"/>
                <w:color w:val="333333"/>
                <w:sz w:val="18"/>
              </w:rPr>
              <w:t>Audit and process final records</w:t>
            </w:r>
          </w:p>
        </w:tc>
        <w:tc>
          <w:tcPr>
            <w:tcW w:type="dxa" w:w="3120"/>
          </w:tcPr>
          <w:p>
            <w:r>
              <w:rPr>
                <w:rFonts w:ascii="Calibri" w:hAnsi="Calibri"/>
                <w:color w:val="333333"/>
                <w:sz w:val="18"/>
              </w:rPr>
              <w:t>5 Business Days</w:t>
            </w:r>
          </w:p>
        </w:tc>
      </w:tr>
    </w:tbl>
    <w:p/>
    <w:p>
      <w:pPr>
        <w:pStyle w:val="Heading2"/>
      </w:pPr>
      <w:r>
        <w:t>24.1 Implementation Procedures for Cybersecurity Best Practices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24.2 Implementation Procedures for Cybersecurity Best Practices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24.3 Implementation Procedures for Cybersecurity Best Practices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25. Corporate Social Responsibility</w:t>
      </w:r>
    </w:p>
    <w:p>
      <w:pPr/>
      <w:r>
        <w:t>This section establishes the Vistara Global Systems framework regarding Corporate Social Responsibility. Our organization, spanning 1,087 employees across India (Bengaluru, Hyderabad, Pune, Mumbai, Gurugram, Chennai, Kolkata, New Delhi) and internationally (Singapore, Dubai, London, Austin), relies on clear standards to maintain operational excellence.</w:t>
      </w:r>
    </w:p>
    <w:p>
      <w:pPr/>
      <w:r>
        <w:t>The provisions under Corporate Social Responsibility apply uniformly, with specific regional variations handled through the HR Business Partner. Strict adherence is expected from all personnel.</w:t>
      </w:r>
    </w:p>
    <w:p>
      <w:pPr>
        <w:pStyle w:val="ListBullet"/>
      </w:pPr>
      <w:r>
        <w:t>Primary responsibility for Corporate Social Responsibility rests with the employee and their reporting manager.</w:t>
      </w:r>
    </w:p>
    <w:p>
      <w:pPr>
        <w:pStyle w:val="ListBullet"/>
      </w:pPr>
      <w:r>
        <w:t>Vistara Global Systems integrates Corporate Social Responsibility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25.1 Implementation Procedures for Corporate Social Responsibility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25.2 Implementation Procedures for Corporate Social Responsibility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25.3 Implementation Procedures for Corporate Social Responsibility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26. Media and Public Relations</w:t>
      </w:r>
    </w:p>
    <w:p>
      <w:pPr/>
      <w:r>
        <w:t>This section establishes the Vistara Global Systems framework regarding Media and Public Relations. Our organization, spanning 1,087 employees across India (Bengaluru, Hyderabad, Pune, Mumbai, Gurugram, Chennai, Kolkata, New Delhi) and internationally (Singapore, Dubai, London, Austin), relies on clear standards to maintain operational excellence.</w:t>
      </w:r>
    </w:p>
    <w:p>
      <w:pPr/>
      <w:r>
        <w:t>The provisions under Media and Public Relations apply uniformly, with specific regional variations handled through the HR Business Partner. Strict adherence is expected from all personnel.</w:t>
      </w:r>
    </w:p>
    <w:p>
      <w:pPr>
        <w:pStyle w:val="ListBullet"/>
      </w:pPr>
      <w:r>
        <w:t>Primary responsibility for Media and Public Relations rests with the employee and their reporting manager.</w:t>
      </w:r>
    </w:p>
    <w:p>
      <w:pPr>
        <w:pStyle w:val="ListBullet"/>
      </w:pPr>
      <w:r>
        <w:t>Vistara Global Systems integrates Media and Public Relations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26.1 Implementation Procedures for Media and Public Relations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26.2 Implementation Procedures for Media and Public Relations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26.3 Implementation Procedures for Media and Public Relations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27. Visitor and Guest Policies</w:t>
      </w:r>
    </w:p>
    <w:p>
      <w:pPr/>
      <w:r>
        <w:t>This section establishes the Vistara Global Systems framework regarding Visitor and Guest Policies. Our organization, spanning 1,087 employees across India (Bengaluru, Hyderabad, Pune, Mumbai, Gurugram, Chennai, Kolkata, New Delhi) and internationally (Singapore, Dubai, London, Austin), relies on clear standards to maintain operational excellence.</w:t>
      </w:r>
    </w:p>
    <w:p>
      <w:pPr/>
      <w:r>
        <w:t>The provisions under Visitor and Guest Policies apply uniformly, with specific regional variations handled through the HR Business Partner. Strict adherence is expected from all personnel.</w:t>
      </w:r>
    </w:p>
    <w:p>
      <w:pPr>
        <w:pStyle w:val="ListBullet"/>
      </w:pPr>
      <w:r>
        <w:t>Primary responsibility for Visitor and Guest Policies rests with the employee and their reporting manager.</w:t>
      </w:r>
    </w:p>
    <w:p>
      <w:pPr>
        <w:pStyle w:val="ListBullet"/>
      </w:pPr>
      <w:r>
        <w:t>Vistara Global Systems integrates Visitor and Guest Policies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27.1 Implementation Procedures for Visitor and Guest Policies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27.2 Implementation Procedures for Visitor and Guest Policies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27.3 Implementation Procedures for Visitor and Guest Policies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28. Office Etiquette and Facilities Use</w:t>
      </w:r>
    </w:p>
    <w:p>
      <w:pPr/>
      <w:r>
        <w:t>This section establishes the Vistara Global Systems framework regarding Office Etiquette and Facilities Use. Our organization, spanning 1,087 employees across India (Bengaluru, Hyderabad, Pune, Mumbai, Gurugram, Chennai, Kolkata, New Delhi) and internationally (Singapore, Dubai, London, Austin), relies on clear standards to maintain operational excellence.</w:t>
      </w:r>
    </w:p>
    <w:p>
      <w:pPr/>
      <w:r>
        <w:t>The provisions under Office Etiquette and Facilities Use apply uniformly, with specific regional variations handled through the HR Business Partner. Strict adherence is expected from all personnel.</w:t>
      </w:r>
    </w:p>
    <w:p>
      <w:pPr>
        <w:pStyle w:val="ListBullet"/>
      </w:pPr>
      <w:r>
        <w:t>Primary responsibility for Office Etiquette and Facilities Use rests with the employee and their reporting manager.</w:t>
      </w:r>
    </w:p>
    <w:p>
      <w:pPr>
        <w:pStyle w:val="ListBullet"/>
      </w:pPr>
      <w:r>
        <w:t>Vistara Global Systems integrates Office Etiquette and Facilities Use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Role</w:t>
            </w:r>
          </w:p>
        </w:tc>
        <w:tc>
          <w:tcPr>
            <w:tcW w:type="dxa" w:w="3120"/>
            <w:shd w:fill="1B3A5C" w:val="clear"/>
          </w:tcPr>
          <w:p>
            <w:pPr>
              <w:jc w:val="center"/>
            </w:pPr>
            <w:r>
              <w:rPr>
                <w:rFonts w:ascii="Calibri" w:hAnsi="Calibri"/>
                <w:b/>
                <w:color w:val="FFFFFF"/>
                <w:sz w:val="20"/>
              </w:rPr>
              <w:t>Responsibility regarding Office Etiquett</w:t>
            </w:r>
          </w:p>
        </w:tc>
        <w:tc>
          <w:tcPr>
            <w:tcW w:type="dxa" w:w="3120"/>
            <w:shd w:fill="1B3A5C" w:val="clear"/>
          </w:tcPr>
          <w:p>
            <w:pPr>
              <w:jc w:val="center"/>
            </w:pPr>
            <w:r>
              <w:rPr>
                <w:rFonts w:ascii="Calibri" w:hAnsi="Calibri"/>
                <w:b/>
                <w:color w:val="FFFFFF"/>
                <w:sz w:val="20"/>
              </w:rPr>
              <w:t>SLA/Timeline</w:t>
            </w:r>
          </w:p>
        </w:tc>
      </w:tr>
      <w:tr>
        <w:tc>
          <w:tcPr>
            <w:tcW w:type="dxa" w:w="3120"/>
          </w:tcPr>
          <w:p>
            <w:r>
              <w:rPr>
                <w:rFonts w:ascii="Calibri" w:hAnsi="Calibri"/>
                <w:color w:val="333333"/>
                <w:sz w:val="18"/>
              </w:rPr>
              <w:t>Employee</w:t>
            </w:r>
          </w:p>
        </w:tc>
        <w:tc>
          <w:tcPr>
            <w:tcW w:type="dxa" w:w="3120"/>
          </w:tcPr>
          <w:p>
            <w:r>
              <w:rPr>
                <w:rFonts w:ascii="Calibri" w:hAnsi="Calibri"/>
                <w:color w:val="333333"/>
                <w:sz w:val="18"/>
              </w:rPr>
              <w:t>Initiate and comply with guidelines</w:t>
            </w:r>
          </w:p>
        </w:tc>
        <w:tc>
          <w:tcPr>
            <w:tcW w:type="dxa" w:w="3120"/>
          </w:tcPr>
          <w:p>
            <w:r>
              <w:rPr>
                <w:rFonts w:ascii="Calibri" w:hAnsi="Calibri"/>
                <w:color w:val="333333"/>
                <w:sz w:val="18"/>
              </w:rPr>
              <w:t>Immediate</w:t>
            </w:r>
          </w:p>
        </w:tc>
      </w:tr>
      <w:tr>
        <w:tc>
          <w:tcPr>
            <w:tcW w:type="dxa" w:w="3120"/>
            <w:shd w:fill="F2F6FA" w:val="clear"/>
          </w:tcPr>
          <w:p>
            <w:r>
              <w:rPr>
                <w:rFonts w:ascii="Calibri" w:hAnsi="Calibri"/>
                <w:color w:val="333333"/>
                <w:sz w:val="18"/>
              </w:rPr>
              <w:t>Manager</w:t>
            </w:r>
          </w:p>
        </w:tc>
        <w:tc>
          <w:tcPr>
            <w:tcW w:type="dxa" w:w="3120"/>
            <w:shd w:fill="F2F6FA" w:val="clear"/>
          </w:tcPr>
          <w:p>
            <w:r>
              <w:rPr>
                <w:rFonts w:ascii="Calibri" w:hAnsi="Calibri"/>
                <w:color w:val="333333"/>
                <w:sz w:val="18"/>
              </w:rPr>
              <w:t>Review and approve/reject</w:t>
            </w:r>
          </w:p>
        </w:tc>
        <w:tc>
          <w:tcPr>
            <w:tcW w:type="dxa" w:w="3120"/>
            <w:shd w:fill="F2F6FA" w:val="clear"/>
          </w:tcPr>
          <w:p>
            <w:r>
              <w:rPr>
                <w:rFonts w:ascii="Calibri" w:hAnsi="Calibri"/>
                <w:color w:val="333333"/>
                <w:sz w:val="18"/>
              </w:rPr>
              <w:t>48 Hours</w:t>
            </w:r>
          </w:p>
        </w:tc>
      </w:tr>
      <w:tr>
        <w:tc>
          <w:tcPr>
            <w:tcW w:type="dxa" w:w="3120"/>
          </w:tcPr>
          <w:p>
            <w:r>
              <w:rPr>
                <w:rFonts w:ascii="Calibri" w:hAnsi="Calibri"/>
                <w:color w:val="333333"/>
                <w:sz w:val="18"/>
              </w:rPr>
              <w:t>HR / Admin</w:t>
            </w:r>
          </w:p>
        </w:tc>
        <w:tc>
          <w:tcPr>
            <w:tcW w:type="dxa" w:w="3120"/>
          </w:tcPr>
          <w:p>
            <w:r>
              <w:rPr>
                <w:rFonts w:ascii="Calibri" w:hAnsi="Calibri"/>
                <w:color w:val="333333"/>
                <w:sz w:val="18"/>
              </w:rPr>
              <w:t>Audit and process final records</w:t>
            </w:r>
          </w:p>
        </w:tc>
        <w:tc>
          <w:tcPr>
            <w:tcW w:type="dxa" w:w="3120"/>
          </w:tcPr>
          <w:p>
            <w:r>
              <w:rPr>
                <w:rFonts w:ascii="Calibri" w:hAnsi="Calibri"/>
                <w:color w:val="333333"/>
                <w:sz w:val="18"/>
              </w:rPr>
              <w:t>5 Business Days</w:t>
            </w:r>
          </w:p>
        </w:tc>
      </w:tr>
    </w:tbl>
    <w:p/>
    <w:p>
      <w:pPr>
        <w:pStyle w:val="Heading2"/>
      </w:pPr>
      <w:r>
        <w:t>28.1 Implementation Procedures for Office Etiquette and Facilities Use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28.2 Implementation Procedures for Office Etiquette and Facilities Use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28.3 Implementation Procedures for Office Etiquette and Facilities Use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29. Emergency Evacuation Procedures</w:t>
      </w:r>
    </w:p>
    <w:p>
      <w:pPr/>
      <w:r>
        <w:t>This section establishes the Vistara Global Systems framework regarding Emergency Evacuation Procedures. Our organization, spanning 1,087 employees across India (Bengaluru, Hyderabad, Pune, Mumbai, Gurugram, Chennai, Kolkata, New Delhi) and internationally (Singapore, Dubai, London, Austin), relies on clear standards to maintain operational excellence.</w:t>
      </w:r>
    </w:p>
    <w:p>
      <w:pPr/>
      <w:r>
        <w:t>The provisions under Emergency Evacuation Procedures apply uniformly, with specific regional variations handled through the HR Business Partner. Strict adherence is expected from all personnel.</w:t>
      </w:r>
    </w:p>
    <w:p>
      <w:pPr>
        <w:pStyle w:val="ListBullet"/>
      </w:pPr>
      <w:r>
        <w:t>Primary responsibility for Emergency Evacuation Procedures rests with the employee and their reporting manager.</w:t>
      </w:r>
    </w:p>
    <w:p>
      <w:pPr>
        <w:pStyle w:val="ListBullet"/>
      </w:pPr>
      <w:r>
        <w:t>Vistara Global Systems integrates Emergency Evacuation Procedures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29.1 Implementation Procedures for Emergency Evacuation Procedures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29.2 Implementation Procedures for Emergency Evacuation Procedures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29.3 Implementation Procedures for Emergency Evacuation Procedures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30. Acknowledgment of Receipt</w:t>
      </w:r>
    </w:p>
    <w:p>
      <w:pPr/>
      <w:r>
        <w:t>This section establishes the Vistara Global Systems framework regarding Acknowledgment of Receipt. Our organization, spanning 1,087 employees across India (Bengaluru, Hyderabad, Pune, Mumbai, Gurugram, Chennai, Kolkata, New Delhi) and internationally (Singapore, Dubai, London, Austin), relies on clear standards to maintain operational excellence.</w:t>
      </w:r>
    </w:p>
    <w:p>
      <w:pPr/>
      <w:r>
        <w:t>The provisions under Acknowledgment of Receipt apply uniformly, with specific regional variations handled through the HR Business Partner. Strict adherence is expected from all personnel.</w:t>
      </w:r>
    </w:p>
    <w:p>
      <w:pPr>
        <w:pStyle w:val="ListBullet"/>
      </w:pPr>
      <w:r>
        <w:t>Primary responsibility for Acknowledgment of Receipt rests with the employee and their reporting manager.</w:t>
      </w:r>
    </w:p>
    <w:p>
      <w:pPr>
        <w:pStyle w:val="ListBullet"/>
      </w:pPr>
      <w:r>
        <w:t>Vistara Global Systems integrates Acknowledgment of Receipt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30.1 Implementation Procedures for Acknowledgment of Receipt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30.2 Implementation Procedures for Acknowledgment of Receipt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30.3 Implementation Procedures for Acknowledgment of Receipt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31. Frequently Asked Questions (FAQ)</w:t>
      </w:r>
    </w:p>
    <w:p>
      <w:r>
        <w:rPr>
          <w:rFonts w:ascii="Calibri" w:hAnsi="Calibri"/>
          <w:b/>
          <w:color w:val="1B3A5C"/>
          <w:sz w:val="22"/>
        </w:rPr>
        <w:t>Q: Question 1 about Handbook?</w:t>
      </w:r>
    </w:p>
    <w:p>
      <w:pPr>
        <w:spacing w:after="240"/>
      </w:pPr>
      <w:r>
        <w:rPr>
          <w:rFonts w:ascii="Calibri" w:hAnsi="Calibri"/>
          <w:color w:val="333333"/>
          <w:sz w:val="22"/>
        </w:rPr>
        <w:t>A: Answer 1: Consult your HR partner for detailed guidance on this specific handbook clause.</w:t>
      </w:r>
    </w:p>
    <w:p>
      <w:r>
        <w:rPr>
          <w:rFonts w:ascii="Calibri" w:hAnsi="Calibri"/>
          <w:b/>
          <w:color w:val="1B3A5C"/>
          <w:sz w:val="22"/>
        </w:rPr>
        <w:t>Q: Question 2 about Handbook?</w:t>
      </w:r>
    </w:p>
    <w:p>
      <w:pPr>
        <w:spacing w:after="240"/>
      </w:pPr>
      <w:r>
        <w:rPr>
          <w:rFonts w:ascii="Calibri" w:hAnsi="Calibri"/>
          <w:color w:val="333333"/>
          <w:sz w:val="22"/>
        </w:rPr>
        <w:t>A: Answer 2: Consult your HR partner for detailed guidance on this specific handbook clause.</w:t>
      </w:r>
    </w:p>
    <w:p>
      <w:r>
        <w:rPr>
          <w:rFonts w:ascii="Calibri" w:hAnsi="Calibri"/>
          <w:b/>
          <w:color w:val="1B3A5C"/>
          <w:sz w:val="22"/>
        </w:rPr>
        <w:t>Q: Question 3 about Handbook?</w:t>
      </w:r>
    </w:p>
    <w:p>
      <w:pPr>
        <w:spacing w:after="240"/>
      </w:pPr>
      <w:r>
        <w:rPr>
          <w:rFonts w:ascii="Calibri" w:hAnsi="Calibri"/>
          <w:color w:val="333333"/>
          <w:sz w:val="22"/>
        </w:rPr>
        <w:t>A: Answer 3: Consult your HR partner for detailed guidance on this specific handbook clause.</w:t>
      </w:r>
    </w:p>
    <w:p>
      <w:r>
        <w:rPr>
          <w:rFonts w:ascii="Calibri" w:hAnsi="Calibri"/>
          <w:b/>
          <w:color w:val="1B3A5C"/>
          <w:sz w:val="22"/>
        </w:rPr>
        <w:t>Q: Question 4 about Handbook?</w:t>
      </w:r>
    </w:p>
    <w:p>
      <w:pPr>
        <w:spacing w:after="240"/>
      </w:pPr>
      <w:r>
        <w:rPr>
          <w:rFonts w:ascii="Calibri" w:hAnsi="Calibri"/>
          <w:color w:val="333333"/>
          <w:sz w:val="22"/>
        </w:rPr>
        <w:t>A: Answer 4: Consult your HR partner for detailed guidance on this specific handbook clause.</w:t>
      </w:r>
    </w:p>
    <w:p>
      <w:r>
        <w:rPr>
          <w:rFonts w:ascii="Calibri" w:hAnsi="Calibri"/>
          <w:b/>
          <w:color w:val="1B3A5C"/>
          <w:sz w:val="22"/>
        </w:rPr>
        <w:t>Q: Question 5 about Handbook?</w:t>
      </w:r>
    </w:p>
    <w:p>
      <w:pPr>
        <w:spacing w:after="240"/>
      </w:pPr>
      <w:r>
        <w:rPr>
          <w:rFonts w:ascii="Calibri" w:hAnsi="Calibri"/>
          <w:color w:val="333333"/>
          <w:sz w:val="22"/>
        </w:rPr>
        <w:t>A: Answer 5: Consult your HR partner for detailed guidance on this specific handbook clause.</w:t>
      </w:r>
    </w:p>
    <w:p>
      <w:r>
        <w:rPr>
          <w:rFonts w:ascii="Calibri" w:hAnsi="Calibri"/>
          <w:b/>
          <w:color w:val="1B3A5C"/>
          <w:sz w:val="22"/>
        </w:rPr>
        <w:t>Q: Question 6 about Handbook?</w:t>
      </w:r>
    </w:p>
    <w:p>
      <w:pPr>
        <w:spacing w:after="240"/>
      </w:pPr>
      <w:r>
        <w:rPr>
          <w:rFonts w:ascii="Calibri" w:hAnsi="Calibri"/>
          <w:color w:val="333333"/>
          <w:sz w:val="22"/>
        </w:rPr>
        <w:t>A: Answer 6: Consult your HR partner for detailed guidance on this specific handbook clause.</w:t>
      </w:r>
    </w:p>
    <w:p>
      <w:r>
        <w:rPr>
          <w:rFonts w:ascii="Calibri" w:hAnsi="Calibri"/>
          <w:b/>
          <w:color w:val="1B3A5C"/>
          <w:sz w:val="22"/>
        </w:rPr>
        <w:t>Q: Question 7 about Handbook?</w:t>
      </w:r>
    </w:p>
    <w:p>
      <w:pPr>
        <w:spacing w:after="240"/>
      </w:pPr>
      <w:r>
        <w:rPr>
          <w:rFonts w:ascii="Calibri" w:hAnsi="Calibri"/>
          <w:color w:val="333333"/>
          <w:sz w:val="22"/>
        </w:rPr>
        <w:t>A: Answer 7: Consult your HR partner for detailed guidance on this specific handbook clause.</w:t>
      </w:r>
    </w:p>
    <w:p>
      <w:r>
        <w:rPr>
          <w:rFonts w:ascii="Calibri" w:hAnsi="Calibri"/>
          <w:b/>
          <w:color w:val="1B3A5C"/>
          <w:sz w:val="22"/>
        </w:rPr>
        <w:t>Q: Question 8 about Handbook?</w:t>
      </w:r>
    </w:p>
    <w:p>
      <w:pPr>
        <w:spacing w:after="240"/>
      </w:pPr>
      <w:r>
        <w:rPr>
          <w:rFonts w:ascii="Calibri" w:hAnsi="Calibri"/>
          <w:color w:val="333333"/>
          <w:sz w:val="22"/>
        </w:rPr>
        <w:t>A: Answer 8: Consult your HR partner for detailed guidance on this specific handbook clause.</w:t>
      </w:r>
    </w:p>
    <w:p>
      <w:r>
        <w:rPr>
          <w:rFonts w:ascii="Calibri" w:hAnsi="Calibri"/>
          <w:b/>
          <w:color w:val="1B3A5C"/>
          <w:sz w:val="22"/>
        </w:rPr>
        <w:t>Q: Question 9 about Handbook?</w:t>
      </w:r>
    </w:p>
    <w:p>
      <w:pPr>
        <w:spacing w:after="240"/>
      </w:pPr>
      <w:r>
        <w:rPr>
          <w:rFonts w:ascii="Calibri" w:hAnsi="Calibri"/>
          <w:color w:val="333333"/>
          <w:sz w:val="22"/>
        </w:rPr>
        <w:t>A: Answer 9: Consult your HR partner for detailed guidance on this specific handbook clause.</w:t>
      </w:r>
    </w:p>
    <w:p>
      <w:r>
        <w:rPr>
          <w:rFonts w:ascii="Calibri" w:hAnsi="Calibri"/>
          <w:b/>
          <w:color w:val="1B3A5C"/>
          <w:sz w:val="22"/>
        </w:rPr>
        <w:t>Q: Question 10 about Handbook?</w:t>
      </w:r>
    </w:p>
    <w:p>
      <w:pPr>
        <w:spacing w:after="240"/>
      </w:pPr>
      <w:r>
        <w:rPr>
          <w:rFonts w:ascii="Calibri" w:hAnsi="Calibri"/>
          <w:color w:val="333333"/>
          <w:sz w:val="22"/>
        </w:rPr>
        <w:t>A: Answer 10: Consult your HR partner for detailed guidance on this specific handbook clause.</w:t>
      </w:r>
    </w:p>
    <w:p>
      <w:r>
        <w:rPr>
          <w:rFonts w:ascii="Calibri" w:hAnsi="Calibri"/>
          <w:b/>
          <w:color w:val="1B3A5C"/>
          <w:sz w:val="22"/>
        </w:rPr>
        <w:t>Q: Question 11 about Handbook?</w:t>
      </w:r>
    </w:p>
    <w:p>
      <w:pPr>
        <w:spacing w:after="240"/>
      </w:pPr>
      <w:r>
        <w:rPr>
          <w:rFonts w:ascii="Calibri" w:hAnsi="Calibri"/>
          <w:color w:val="333333"/>
          <w:sz w:val="22"/>
        </w:rPr>
        <w:t>A: Answer 11: Consult your HR partner for detailed guidance on this specific handbook clause.</w:t>
      </w:r>
    </w:p>
    <w:p>
      <w:r>
        <w:rPr>
          <w:rFonts w:ascii="Calibri" w:hAnsi="Calibri"/>
          <w:b/>
          <w:color w:val="1B3A5C"/>
          <w:sz w:val="22"/>
        </w:rPr>
        <w:t>Q: Question 12 about Handbook?</w:t>
      </w:r>
    </w:p>
    <w:p>
      <w:pPr>
        <w:spacing w:after="240"/>
      </w:pPr>
      <w:r>
        <w:rPr>
          <w:rFonts w:ascii="Calibri" w:hAnsi="Calibri"/>
          <w:color w:val="333333"/>
          <w:sz w:val="22"/>
        </w:rPr>
        <w:t>A: Answer 12: Consult your HR partner for detailed guidance on this specific handbook clause.</w:t>
      </w:r>
    </w:p>
    <w:p>
      <w:r>
        <w:rPr>
          <w:rFonts w:ascii="Calibri" w:hAnsi="Calibri"/>
          <w:b/>
          <w:color w:val="1B3A5C"/>
          <w:sz w:val="22"/>
        </w:rPr>
        <w:t>Q: Question 13 about Handbook?</w:t>
      </w:r>
    </w:p>
    <w:p>
      <w:pPr>
        <w:spacing w:after="240"/>
      </w:pPr>
      <w:r>
        <w:rPr>
          <w:rFonts w:ascii="Calibri" w:hAnsi="Calibri"/>
          <w:color w:val="333333"/>
          <w:sz w:val="22"/>
        </w:rPr>
        <w:t>A: Answer 13: Consult your HR partner for detailed guidance on this specific handbook clause.</w:t>
      </w:r>
    </w:p>
    <w:p>
      <w:r>
        <w:rPr>
          <w:rFonts w:ascii="Calibri" w:hAnsi="Calibri"/>
          <w:b/>
          <w:color w:val="1B3A5C"/>
          <w:sz w:val="22"/>
        </w:rPr>
        <w:t>Q: Question 14 about Handbook?</w:t>
      </w:r>
    </w:p>
    <w:p>
      <w:pPr>
        <w:spacing w:after="240"/>
      </w:pPr>
      <w:r>
        <w:rPr>
          <w:rFonts w:ascii="Calibri" w:hAnsi="Calibri"/>
          <w:color w:val="333333"/>
          <w:sz w:val="22"/>
        </w:rPr>
        <w:t>A: Answer 14: Consult your HR partner for detailed guidance on this specific handbook clause.</w:t>
      </w:r>
    </w:p>
    <w:p>
      <w:r>
        <w:rPr>
          <w:rFonts w:ascii="Calibri" w:hAnsi="Calibri"/>
          <w:b/>
          <w:color w:val="1B3A5C"/>
          <w:sz w:val="22"/>
        </w:rPr>
        <w:t>Q: Question 15 about Handbook?</w:t>
      </w:r>
    </w:p>
    <w:p>
      <w:pPr>
        <w:spacing w:after="240"/>
      </w:pPr>
      <w:r>
        <w:rPr>
          <w:rFonts w:ascii="Calibri" w:hAnsi="Calibri"/>
          <w:color w:val="333333"/>
          <w:sz w:val="22"/>
        </w:rPr>
        <w:t>A: Answer 15: Consult your HR partner for detailed guidance on this specific handbook clause.</w:t>
      </w:r>
    </w:p>
    <w:p>
      <w:pPr>
        <w:pStyle w:val="Heading1"/>
      </w:pPr>
      <w:r>
        <w:t>32. Workplace Scenarios</w:t>
      </w:r>
    </w:p>
    <w:p>
      <w:pPr>
        <w:pStyle w:val="Heading3"/>
      </w:pPr>
      <w:r>
        <w:t>Scenario 1: Flexible Working</w:t>
      </w:r>
    </w:p>
    <w:p>
      <w:r>
        <w:rPr>
          <w:b/>
          <w:color w:val="1B3A5C"/>
        </w:rPr>
        <w:t xml:space="preserve">Situation: </w:t>
      </w:r>
      <w:r>
        <w:t>Aparna Bhat wants to adjust their hours to 10-7.</w:t>
      </w:r>
    </w:p>
    <w:p>
      <w:r>
        <w:rPr>
          <w:b/>
          <w:color w:val="1B3A5C"/>
        </w:rPr>
        <w:t xml:space="preserve">Relevant Requirements: </w:t>
      </w:r>
      <w:r>
        <w:t>Core hours overlap</w:t>
      </w:r>
    </w:p>
    <w:p>
      <w:r>
        <w:rPr>
          <w:b/>
          <w:color w:val="1B3A5C"/>
        </w:rPr>
        <w:t xml:space="preserve">Expected Process: </w:t>
      </w:r>
      <w:r>
        <w:t>Submit request to manager.</w:t>
      </w:r>
    </w:p>
    <w:p>
      <w:r>
        <w:rPr>
          <w:b/>
          <w:color w:val="1B3A5C"/>
        </w:rPr>
        <w:t xml:space="preserve">Outcome: </w:t>
      </w:r>
      <w:r>
        <w:t>Approved if team coverage allows.</w:t>
      </w:r>
    </w:p>
    <w:p/>
    <w:p>
      <w:pPr>
        <w:pStyle w:val="Heading3"/>
      </w:pPr>
      <w:r>
        <w:t>Scenario 2: Remote Work Security</w:t>
      </w:r>
    </w:p>
    <w:p>
      <w:r>
        <w:rPr>
          <w:b/>
          <w:color w:val="1B3A5C"/>
        </w:rPr>
        <w:t xml:space="preserve">Situation: </w:t>
      </w:r>
      <w:r>
        <w:t>Gautam Mishra working from a cafe.</w:t>
      </w:r>
    </w:p>
    <w:p>
      <w:r>
        <w:rPr>
          <w:b/>
          <w:color w:val="1B3A5C"/>
        </w:rPr>
        <w:t xml:space="preserve">Relevant Requirements: </w:t>
      </w:r>
      <w:r>
        <w:t>Use VPN, privacy screen</w:t>
      </w:r>
    </w:p>
    <w:p>
      <w:r>
        <w:rPr>
          <w:b/>
          <w:color w:val="1B3A5C"/>
        </w:rPr>
        <w:t xml:space="preserve">Expected Process: </w:t>
      </w:r>
      <w:r>
        <w:t>Connect securely.</w:t>
      </w:r>
    </w:p>
    <w:p>
      <w:r>
        <w:rPr>
          <w:b/>
          <w:color w:val="1B3A5C"/>
        </w:rPr>
        <w:t xml:space="preserve">Outcome: </w:t>
      </w:r>
      <w:r>
        <w:t>Data remains protected.</w:t>
      </w:r>
    </w:p>
    <w:p/>
    <w:p>
      <w:pPr>
        <w:pStyle w:val="Heading1"/>
      </w:pPr>
      <w:r>
        <w:t>33. Appendices &amp; Checklists</w:t>
      </w:r>
    </w:p>
    <w:p>
      <w:pPr>
        <w:pStyle w:val="Heading2"/>
      </w:pPr>
      <w:r>
        <w:t>33.1 Employee Checklist</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Requirement</w:t>
            </w:r>
          </w:p>
        </w:tc>
        <w:tc>
          <w:tcPr>
            <w:tcW w:type="dxa" w:w="3120"/>
            <w:shd w:fill="1B3A5C" w:val="clear"/>
          </w:tcPr>
          <w:p>
            <w:pPr>
              <w:jc w:val="center"/>
            </w:pPr>
            <w:r>
              <w:rPr>
                <w:rFonts w:ascii="Calibri" w:hAnsi="Calibri"/>
                <w:b/>
                <w:color w:val="FFFFFF"/>
                <w:sz w:val="20"/>
              </w:rPr>
              <w:t>Details</w:t>
            </w:r>
          </w:p>
        </w:tc>
        <w:tc>
          <w:tcPr>
            <w:tcW w:type="dxa" w:w="3120"/>
            <w:shd w:fill="1B3A5C" w:val="clear"/>
          </w:tcPr>
          <w:p>
            <w:pPr>
              <w:jc w:val="center"/>
            </w:pPr>
            <w:r>
              <w:rPr>
                <w:rFonts w:ascii="Calibri" w:hAnsi="Calibri"/>
                <w:b/>
                <w:color w:val="FFFFFF"/>
                <w:sz w:val="20"/>
              </w:rPr>
              <w:t>Completion</w:t>
            </w:r>
          </w:p>
        </w:tc>
      </w:tr>
      <w:tr>
        <w:tc>
          <w:tcPr>
            <w:tcW w:type="dxa" w:w="3120"/>
          </w:tcPr>
          <w:p>
            <w:r>
              <w:rPr>
                <w:rFonts w:ascii="Calibri" w:hAnsi="Calibri"/>
                <w:color w:val="333333"/>
                <w:sz w:val="18"/>
              </w:rPr>
              <w:t>Policy Review</w:t>
            </w:r>
          </w:p>
        </w:tc>
        <w:tc>
          <w:tcPr>
            <w:tcW w:type="dxa" w:w="3120"/>
          </w:tcPr>
          <w:p>
            <w:r>
              <w:rPr>
                <w:rFonts w:ascii="Calibri" w:hAnsi="Calibri"/>
                <w:color w:val="333333"/>
                <w:sz w:val="18"/>
              </w:rPr>
              <w:t>Read entire document</w:t>
            </w:r>
          </w:p>
        </w:tc>
        <w:tc>
          <w:tcPr>
            <w:tcW w:type="dxa" w:w="3120"/>
          </w:tcPr>
          <w:p>
            <w:r>
              <w:rPr>
                <w:rFonts w:ascii="Calibri" w:hAnsi="Calibri"/>
                <w:color w:val="333333"/>
                <w:sz w:val="18"/>
              </w:rPr>
              <w:t>[  ]</w:t>
            </w:r>
          </w:p>
        </w:tc>
      </w:tr>
      <w:tr>
        <w:tc>
          <w:tcPr>
            <w:tcW w:type="dxa" w:w="3120"/>
            <w:shd w:fill="F2F6FA" w:val="clear"/>
          </w:tcPr>
          <w:p>
            <w:r>
              <w:rPr>
                <w:rFonts w:ascii="Calibri" w:hAnsi="Calibri"/>
                <w:color w:val="333333"/>
                <w:sz w:val="18"/>
              </w:rPr>
              <w:t>Manager Sync</w:t>
            </w:r>
          </w:p>
        </w:tc>
        <w:tc>
          <w:tcPr>
            <w:tcW w:type="dxa" w:w="3120"/>
            <w:shd w:fill="F2F6FA" w:val="clear"/>
          </w:tcPr>
          <w:p>
            <w:r>
              <w:rPr>
                <w:rFonts w:ascii="Calibri" w:hAnsi="Calibri"/>
                <w:color w:val="333333"/>
                <w:sz w:val="18"/>
              </w:rPr>
              <w:t>Discuss impact on daily role</w:t>
            </w:r>
          </w:p>
        </w:tc>
        <w:tc>
          <w:tcPr>
            <w:tcW w:type="dxa" w:w="3120"/>
            <w:shd w:fill="F2F6FA" w:val="clear"/>
          </w:tcPr>
          <w:p>
            <w:r>
              <w:rPr>
                <w:rFonts w:ascii="Calibri" w:hAnsi="Calibri"/>
                <w:color w:val="333333"/>
                <w:sz w:val="18"/>
              </w:rPr>
              <w:t>[  ]</w:t>
            </w:r>
          </w:p>
        </w:tc>
      </w:tr>
      <w:tr>
        <w:tc>
          <w:tcPr>
            <w:tcW w:type="dxa" w:w="3120"/>
          </w:tcPr>
          <w:p>
            <w:r>
              <w:rPr>
                <w:rFonts w:ascii="Calibri" w:hAnsi="Calibri"/>
                <w:color w:val="333333"/>
                <w:sz w:val="18"/>
              </w:rPr>
              <w:t>Acknowledgment</w:t>
            </w:r>
          </w:p>
        </w:tc>
        <w:tc>
          <w:tcPr>
            <w:tcW w:type="dxa" w:w="3120"/>
          </w:tcPr>
          <w:p>
            <w:r>
              <w:rPr>
                <w:rFonts w:ascii="Calibri" w:hAnsi="Calibri"/>
                <w:color w:val="333333"/>
                <w:sz w:val="18"/>
              </w:rPr>
              <w:t>Sign via HRMS</w:t>
            </w:r>
          </w:p>
        </w:tc>
        <w:tc>
          <w:tcPr>
            <w:tcW w:type="dxa" w:w="3120"/>
          </w:tcPr>
          <w:p>
            <w:r>
              <w:rPr>
                <w:rFonts w:ascii="Calibri" w:hAnsi="Calibri"/>
                <w:color w:val="333333"/>
                <w:sz w:val="18"/>
              </w:rPr>
              <w:t>[  ]</w:t>
            </w:r>
          </w:p>
        </w:tc>
      </w:tr>
    </w:tbl>
    <w:p/>
    <w:p>
      <w:pPr>
        <w:pStyle w:val="Heading1"/>
      </w:pPr>
      <w:r>
        <w:t>33. Leave Types Overview Table</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Leave Type</w:t>
            </w:r>
          </w:p>
        </w:tc>
        <w:tc>
          <w:tcPr>
            <w:tcW w:type="dxa" w:w="3120"/>
            <w:shd w:fill="1B3A5C" w:val="clear"/>
          </w:tcPr>
          <w:p>
            <w:pPr>
              <w:jc w:val="center"/>
            </w:pPr>
            <w:r>
              <w:rPr>
                <w:rFonts w:ascii="Calibri" w:hAnsi="Calibri"/>
                <w:b/>
                <w:color w:val="FFFFFF"/>
                <w:sz w:val="20"/>
              </w:rPr>
              <w:t>Allowance</w:t>
            </w:r>
          </w:p>
        </w:tc>
        <w:tc>
          <w:tcPr>
            <w:tcW w:type="dxa" w:w="3120"/>
            <w:shd w:fill="1B3A5C" w:val="clear"/>
          </w:tcPr>
          <w:p>
            <w:pPr>
              <w:jc w:val="center"/>
            </w:pPr>
            <w:r>
              <w:rPr>
                <w:rFonts w:ascii="Calibri" w:hAnsi="Calibri"/>
                <w:b/>
                <w:color w:val="FFFFFF"/>
                <w:sz w:val="20"/>
              </w:rPr>
              <w:t>Description</w:t>
            </w:r>
          </w:p>
        </w:tc>
      </w:tr>
      <w:tr>
        <w:tc>
          <w:tcPr>
            <w:tcW w:type="dxa" w:w="3120"/>
          </w:tcPr>
          <w:p>
            <w:r>
              <w:rPr>
                <w:rFonts w:ascii="Calibri" w:hAnsi="Calibri"/>
                <w:color w:val="333333"/>
                <w:sz w:val="18"/>
              </w:rPr>
              <w:t>Annual Leave</w:t>
            </w:r>
          </w:p>
        </w:tc>
        <w:tc>
          <w:tcPr>
            <w:tcW w:type="dxa" w:w="3120"/>
          </w:tcPr>
          <w:p>
            <w:r>
              <w:rPr>
                <w:rFonts w:ascii="Calibri" w:hAnsi="Calibri"/>
                <w:color w:val="333333"/>
                <w:sz w:val="18"/>
              </w:rPr>
              <w:t>24 days</w:t>
            </w:r>
          </w:p>
        </w:tc>
        <w:tc>
          <w:tcPr>
            <w:tcW w:type="dxa" w:w="3120"/>
          </w:tcPr>
          <w:p>
            <w:r>
              <w:rPr>
                <w:rFonts w:ascii="Calibri" w:hAnsi="Calibri"/>
                <w:color w:val="333333"/>
                <w:sz w:val="18"/>
              </w:rPr>
              <w:t>Standard paid time off</w:t>
            </w:r>
          </w:p>
        </w:tc>
      </w:tr>
      <w:tr>
        <w:tc>
          <w:tcPr>
            <w:tcW w:type="dxa" w:w="3120"/>
            <w:shd w:fill="F2F6FA" w:val="clear"/>
          </w:tcPr>
          <w:p>
            <w:r>
              <w:rPr>
                <w:rFonts w:ascii="Calibri" w:hAnsi="Calibri"/>
                <w:color w:val="333333"/>
                <w:sz w:val="18"/>
              </w:rPr>
              <w:t>Sick Leave</w:t>
            </w:r>
          </w:p>
        </w:tc>
        <w:tc>
          <w:tcPr>
            <w:tcW w:type="dxa" w:w="3120"/>
            <w:shd w:fill="F2F6FA" w:val="clear"/>
          </w:tcPr>
          <w:p>
            <w:r>
              <w:rPr>
                <w:rFonts w:ascii="Calibri" w:hAnsi="Calibri"/>
                <w:color w:val="333333"/>
                <w:sz w:val="18"/>
              </w:rPr>
              <w:t>12 days</w:t>
            </w:r>
          </w:p>
        </w:tc>
        <w:tc>
          <w:tcPr>
            <w:tcW w:type="dxa" w:w="3120"/>
            <w:shd w:fill="F2F6FA" w:val="clear"/>
          </w:tcPr>
          <w:p>
            <w:r>
              <w:rPr>
                <w:rFonts w:ascii="Calibri" w:hAnsi="Calibri"/>
                <w:color w:val="333333"/>
                <w:sz w:val="18"/>
              </w:rPr>
              <w:t>For medical emergencies</w:t>
            </w:r>
          </w:p>
        </w:tc>
      </w:tr>
      <w:tr>
        <w:tc>
          <w:tcPr>
            <w:tcW w:type="dxa" w:w="3120"/>
          </w:tcPr>
          <w:p>
            <w:r>
              <w:rPr>
                <w:rFonts w:ascii="Calibri" w:hAnsi="Calibri"/>
                <w:color w:val="333333"/>
                <w:sz w:val="18"/>
              </w:rPr>
              <w:t>Casual Leave</w:t>
            </w:r>
          </w:p>
        </w:tc>
        <w:tc>
          <w:tcPr>
            <w:tcW w:type="dxa" w:w="3120"/>
          </w:tcPr>
          <w:p>
            <w:r>
              <w:rPr>
                <w:rFonts w:ascii="Calibri" w:hAnsi="Calibri"/>
                <w:color w:val="333333"/>
                <w:sz w:val="18"/>
              </w:rPr>
              <w:t>6 days</w:t>
            </w:r>
          </w:p>
        </w:tc>
        <w:tc>
          <w:tcPr>
            <w:tcW w:type="dxa" w:w="3120"/>
          </w:tcPr>
          <w:p>
            <w:r>
              <w:rPr>
                <w:rFonts w:ascii="Calibri" w:hAnsi="Calibri"/>
                <w:color w:val="333333"/>
                <w:sz w:val="18"/>
              </w:rPr>
              <w:t>For short personal tasks</w:t>
            </w:r>
          </w:p>
        </w:tc>
      </w:tr>
    </w:tbl>
    <w:p/>
    <w:p>
      <w:pPr>
        <w:pStyle w:val="Heading1"/>
      </w:pPr>
      <w:r>
        <w:t>34. Office Locations Table</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Region</w:t>
            </w:r>
          </w:p>
        </w:tc>
        <w:tc>
          <w:tcPr>
            <w:tcW w:type="dxa" w:w="3120"/>
            <w:shd w:fill="1B3A5C" w:val="clear"/>
          </w:tcPr>
          <w:p>
            <w:pPr>
              <w:jc w:val="center"/>
            </w:pPr>
            <w:r>
              <w:rPr>
                <w:rFonts w:ascii="Calibri" w:hAnsi="Calibri"/>
                <w:b/>
                <w:color w:val="FFFFFF"/>
                <w:sz w:val="20"/>
              </w:rPr>
              <w:t>Cities</w:t>
            </w:r>
          </w:p>
        </w:tc>
        <w:tc>
          <w:tcPr>
            <w:tcW w:type="dxa" w:w="3120"/>
            <w:shd w:fill="1B3A5C" w:val="clear"/>
          </w:tcPr>
          <w:p>
            <w:pPr>
              <w:jc w:val="center"/>
            </w:pPr>
            <w:r>
              <w:rPr>
                <w:rFonts w:ascii="Calibri" w:hAnsi="Calibri"/>
                <w:b/>
                <w:color w:val="FFFFFF"/>
                <w:sz w:val="20"/>
              </w:rPr>
              <w:t>Focus</w:t>
            </w:r>
          </w:p>
        </w:tc>
      </w:tr>
      <w:tr>
        <w:tc>
          <w:tcPr>
            <w:tcW w:type="dxa" w:w="3120"/>
          </w:tcPr>
          <w:p>
            <w:r>
              <w:rPr>
                <w:rFonts w:ascii="Calibri" w:hAnsi="Calibri"/>
                <w:color w:val="333333"/>
                <w:sz w:val="18"/>
              </w:rPr>
              <w:t>India</w:t>
            </w:r>
          </w:p>
        </w:tc>
        <w:tc>
          <w:tcPr>
            <w:tcW w:type="dxa" w:w="3120"/>
          </w:tcPr>
          <w:p>
            <w:r>
              <w:rPr>
                <w:rFonts w:ascii="Calibri" w:hAnsi="Calibri"/>
                <w:color w:val="333333"/>
                <w:sz w:val="18"/>
              </w:rPr>
              <w:t>Bengaluru, Hyderabad, Pune, Mumbai, Gurugram, Chennai, Kolkata, New Delhi</w:t>
            </w:r>
          </w:p>
        </w:tc>
        <w:tc>
          <w:tcPr>
            <w:tcW w:type="dxa" w:w="3120"/>
          </w:tcPr>
          <w:p>
            <w:r>
              <w:rPr>
                <w:rFonts w:ascii="Calibri" w:hAnsi="Calibri"/>
                <w:color w:val="333333"/>
                <w:sz w:val="18"/>
              </w:rPr>
              <w:t>HQ, R&amp;D, Delivery</w:t>
            </w:r>
          </w:p>
        </w:tc>
      </w:tr>
      <w:tr>
        <w:tc>
          <w:tcPr>
            <w:tcW w:type="dxa" w:w="3120"/>
            <w:shd w:fill="F2F6FA" w:val="clear"/>
          </w:tcPr>
          <w:p>
            <w:r>
              <w:rPr>
                <w:rFonts w:ascii="Calibri" w:hAnsi="Calibri"/>
                <w:color w:val="333333"/>
                <w:sz w:val="18"/>
              </w:rPr>
              <w:t>APAC/MEA</w:t>
            </w:r>
          </w:p>
        </w:tc>
        <w:tc>
          <w:tcPr>
            <w:tcW w:type="dxa" w:w="3120"/>
            <w:shd w:fill="F2F6FA" w:val="clear"/>
          </w:tcPr>
          <w:p>
            <w:r>
              <w:rPr>
                <w:rFonts w:ascii="Calibri" w:hAnsi="Calibri"/>
                <w:color w:val="333333"/>
                <w:sz w:val="18"/>
              </w:rPr>
              <w:t>Singapore, Dubai</w:t>
            </w:r>
          </w:p>
        </w:tc>
        <w:tc>
          <w:tcPr>
            <w:tcW w:type="dxa" w:w="3120"/>
            <w:shd w:fill="F2F6FA" w:val="clear"/>
          </w:tcPr>
          <w:p>
            <w:r>
              <w:rPr>
                <w:rFonts w:ascii="Calibri" w:hAnsi="Calibri"/>
                <w:color w:val="333333"/>
                <w:sz w:val="18"/>
              </w:rPr>
              <w:t>Sales, Support</w:t>
            </w:r>
          </w:p>
        </w:tc>
      </w:tr>
      <w:tr>
        <w:tc>
          <w:tcPr>
            <w:tcW w:type="dxa" w:w="3120"/>
          </w:tcPr>
          <w:p>
            <w:r>
              <w:rPr>
                <w:rFonts w:ascii="Calibri" w:hAnsi="Calibri"/>
                <w:color w:val="333333"/>
                <w:sz w:val="18"/>
              </w:rPr>
              <w:t>US/UK</w:t>
            </w:r>
          </w:p>
        </w:tc>
        <w:tc>
          <w:tcPr>
            <w:tcW w:type="dxa" w:w="3120"/>
          </w:tcPr>
          <w:p>
            <w:r>
              <w:rPr>
                <w:rFonts w:ascii="Calibri" w:hAnsi="Calibri"/>
                <w:color w:val="333333"/>
                <w:sz w:val="18"/>
              </w:rPr>
              <w:t>London, Austin</w:t>
            </w:r>
          </w:p>
        </w:tc>
        <w:tc>
          <w:tcPr>
            <w:tcW w:type="dxa" w:w="3120"/>
          </w:tcPr>
          <w:p>
            <w:r>
              <w:rPr>
                <w:rFonts w:ascii="Calibri" w:hAnsi="Calibri"/>
                <w:color w:val="333333"/>
                <w:sz w:val="18"/>
              </w:rPr>
              <w:t>Enterprise Clients</w:t>
            </w:r>
          </w:p>
        </w:tc>
      </w:tr>
    </w:tbl>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1.0</w:t>
            </w:r>
          </w:p>
        </w:tc>
        <w:tc>
          <w:tcPr>
            <w:tcW w:type="dxa" w:w="1872"/>
          </w:tcPr>
          <w:p>
            <w:r>
              <w:rPr>
                <w:rFonts w:ascii="Calibri" w:hAnsi="Calibri"/>
                <w:color w:val="333333"/>
                <w:sz w:val="18"/>
              </w:rPr>
              <w:t>01 Jan 2022</w:t>
            </w:r>
          </w:p>
        </w:tc>
        <w:tc>
          <w:tcPr>
            <w:tcW w:type="dxa" w:w="2160"/>
          </w:tcPr>
          <w:p>
            <w:r>
              <w:rPr>
                <w:rFonts w:ascii="Calibri" w:hAnsi="Calibri"/>
                <w:color w:val="333333"/>
                <w:sz w:val="18"/>
              </w:rPr>
              <w:t>HR</w:t>
            </w:r>
          </w:p>
        </w:tc>
        <w:tc>
          <w:tcPr>
            <w:tcW w:type="dxa" w:w="4320"/>
          </w:tcPr>
          <w:p>
            <w:r>
              <w:rPr>
                <w:rFonts w:ascii="Calibri" w:hAnsi="Calibri"/>
                <w:color w:val="333333"/>
                <w:sz w:val="18"/>
              </w:rPr>
              <w:t>Initial Release</w:t>
            </w:r>
          </w:p>
        </w:tc>
      </w:tr>
      <w:tr>
        <w:tc>
          <w:tcPr>
            <w:tcW w:type="dxa" w:w="1152"/>
            <w:shd w:fill="F2F6FA" w:val="clear"/>
          </w:tcPr>
          <w:p>
            <w:r>
              <w:rPr>
                <w:rFonts w:ascii="Calibri" w:hAnsi="Calibri"/>
                <w:color w:val="333333"/>
                <w:sz w:val="18"/>
              </w:rPr>
              <w:t>2.0</w:t>
            </w:r>
          </w:p>
        </w:tc>
        <w:tc>
          <w:tcPr>
            <w:tcW w:type="dxa" w:w="1872"/>
            <w:shd w:fill="F2F6FA" w:val="clear"/>
          </w:tcPr>
          <w:p>
            <w:r>
              <w:rPr>
                <w:rFonts w:ascii="Calibri" w:hAnsi="Calibri"/>
                <w:color w:val="333333"/>
                <w:sz w:val="18"/>
              </w:rPr>
              <w:t>15 May 2024</w:t>
            </w:r>
          </w:p>
        </w:tc>
        <w:tc>
          <w:tcPr>
            <w:tcW w:type="dxa" w:w="2160"/>
            <w:shd w:fill="F2F6FA" w:val="clear"/>
          </w:tcPr>
          <w:p>
            <w:r>
              <w:rPr>
                <w:rFonts w:ascii="Calibri" w:hAnsi="Calibri"/>
                <w:color w:val="333333"/>
                <w:sz w:val="18"/>
              </w:rPr>
              <w:t>HR</w:t>
            </w:r>
          </w:p>
        </w:tc>
        <w:tc>
          <w:tcPr>
            <w:tcW w:type="dxa" w:w="4320"/>
            <w:shd w:fill="F2F6FA" w:val="clear"/>
          </w:tcPr>
          <w:p>
            <w:r>
              <w:rPr>
                <w:rFonts w:ascii="Calibri" w:hAnsi="Calibri"/>
                <w:color w:val="333333"/>
                <w:sz w:val="18"/>
              </w:rPr>
              <w:t>Updated for remote work</w:t>
            </w:r>
          </w:p>
        </w:tc>
      </w:tr>
      <w:tr>
        <w:tc>
          <w:tcPr>
            <w:tcW w:type="dxa" w:w="1152"/>
          </w:tcPr>
          <w:p>
            <w:r>
              <w:rPr>
                <w:rFonts w:ascii="Calibri" w:hAnsi="Calibri"/>
                <w:color w:val="333333"/>
                <w:sz w:val="18"/>
              </w:rPr>
              <w:t>2.2</w:t>
            </w:r>
          </w:p>
        </w:tc>
        <w:tc>
          <w:tcPr>
            <w:tcW w:type="dxa" w:w="1872"/>
          </w:tcPr>
          <w:p>
            <w:r>
              <w:rPr>
                <w:rFonts w:ascii="Calibri" w:hAnsi="Calibri"/>
                <w:color w:val="333333"/>
                <w:sz w:val="18"/>
              </w:rPr>
              <w:t>01 Jun 2025</w:t>
            </w:r>
          </w:p>
        </w:tc>
        <w:tc>
          <w:tcPr>
            <w:tcW w:type="dxa" w:w="2160"/>
          </w:tcPr>
          <w:p>
            <w:r>
              <w:rPr>
                <w:rFonts w:ascii="Calibri" w:hAnsi="Calibri"/>
                <w:color w:val="333333"/>
                <w:sz w:val="18"/>
              </w:rPr>
              <w:t>HR</w:t>
            </w:r>
          </w:p>
        </w:tc>
        <w:tc>
          <w:tcPr>
            <w:tcW w:type="dxa" w:w="4320"/>
          </w:tcPr>
          <w:p>
            <w:r>
              <w:rPr>
                <w:rFonts w:ascii="Calibri" w:hAnsi="Calibri"/>
                <w:color w:val="333333"/>
                <w:sz w:val="18"/>
              </w:rPr>
              <w:t>Added AI policies</w:t>
            </w:r>
          </w:p>
        </w:tc>
      </w:tr>
      <w:tr>
        <w:tc>
          <w:tcPr>
            <w:tcW w:type="dxa" w:w="1152"/>
            <w:shd w:fill="F2F6FA" w:val="clear"/>
          </w:tcPr>
          <w:p>
            <w:r>
              <w:rPr>
                <w:rFonts w:ascii="Calibri" w:hAnsi="Calibri"/>
                <w:color w:val="333333"/>
                <w:sz w:val="18"/>
              </w:rPr>
              <w:t>3.0</w:t>
            </w:r>
          </w:p>
        </w:tc>
        <w:tc>
          <w:tcPr>
            <w:tcW w:type="dxa" w:w="1872"/>
            <w:shd w:fill="F2F6FA" w:val="clear"/>
          </w:tcPr>
          <w:p>
            <w:r>
              <w:rPr>
                <w:rFonts w:ascii="Calibri" w:hAnsi="Calibri"/>
                <w:color w:val="333333"/>
                <w:sz w:val="18"/>
              </w:rPr>
              <w:t>01 Jan 2026</w:t>
            </w:r>
          </w:p>
        </w:tc>
        <w:tc>
          <w:tcPr>
            <w:tcW w:type="dxa" w:w="2160"/>
            <w:shd w:fill="F2F6FA" w:val="clear"/>
          </w:tcPr>
          <w:p>
            <w:r>
              <w:rPr>
                <w:rFonts w:ascii="Calibri" w:hAnsi="Calibri"/>
                <w:color w:val="333333"/>
                <w:sz w:val="18"/>
              </w:rPr>
              <w:t>Chief People Officer</w:t>
            </w:r>
          </w:p>
        </w:tc>
        <w:tc>
          <w:tcPr>
            <w:tcW w:type="dxa" w:w="4320"/>
            <w:shd w:fill="F2F6FA" w:val="clear"/>
          </w:tcPr>
          <w:p>
            <w:r>
              <w:rPr>
                <w:rFonts w:ascii="Calibri" w:hAnsi="Calibri"/>
                <w:color w:val="333333"/>
                <w:sz w:val="18"/>
              </w:rPr>
              <w:t>Complete overhaul for 2026</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HR-001</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