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Code of Conduct</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March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Code of Conduct</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March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HR-007, HR-008, LEGAL-001, LEGAL-002, LEGAL-003, LEGAL-004, SEC-006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to the Code of Conduct</w:t>
      </w:r>
    </w:p>
    <w:p>
      <w:pPr/>
      <w:r>
        <w:t>This section establishes the Vistara Global Systems framework regarding Introduction to the Code of Conduct. Our organization, spanning 1,087 employees across India (Bengaluru, Hyderabad, Pune, Mumbai, Gurugram, Chennai, Kolkata, New Delhi) and internationally (Singapore, Dubai, London, Austin), relies on clear standards to maintain operational excellence.</w:t>
      </w:r>
    </w:p>
    <w:p>
      <w:pPr/>
      <w:r>
        <w:t>The provisions under Introduction to the Code of Conduct apply uniformly, with specific regional variations handled through the HR Business Partner. Strict adherence is expected from all personnel.</w:t>
      </w:r>
    </w:p>
    <w:p>
      <w:pPr>
        <w:pStyle w:val="ListBullet"/>
      </w:pPr>
      <w:r>
        <w:t>Primary responsibility for Introduction to the Code of Conduct rests with the employee and their reporting manager.</w:t>
      </w:r>
    </w:p>
    <w:p>
      <w:pPr>
        <w:pStyle w:val="ListBullet"/>
      </w:pPr>
      <w:r>
        <w:t>Vistara Global Systems integrates Introduction to the Code of Conduct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 Implementation Procedures for Introduction to the Code of Conduct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 Implementation Procedures for Introduction to the Code of Conduct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 Implementation Procedures for Introduction to the Code of Conduct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 Professional Behavior Expectations</w:t>
      </w:r>
    </w:p>
    <w:p>
      <w:pPr/>
      <w:r>
        <w:t>This section establishes the Vistara Global Systems framework regarding Professional Behavior Expectations.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Professional Behavior Expectations apply uniformly, with specific regional variations handled through the HR Business Partner. Strict adherence is expected from all personnel.</w:t>
      </w:r>
    </w:p>
    <w:p>
      <w:pPr>
        <w:pStyle w:val="ListBullet"/>
      </w:pPr>
      <w:r>
        <w:t>Primary responsibility for Professional Behavior Expectations rests with the employee and their reporting manager.</w:t>
      </w:r>
    </w:p>
    <w:p>
      <w:pPr>
        <w:pStyle w:val="ListBullet"/>
      </w:pPr>
      <w:r>
        <w:t>Vistara Global Systems integrates Professional Behavior Expectations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 Implementation Procedures for Professional Behavior Expectations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 Implementation Procedures for Professional Behavior Expectations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 Implementation Procedures for Professional Behavior Expectations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 Integrity and Ethical Conduct</w:t>
      </w:r>
    </w:p>
    <w:p>
      <w:pPr/>
      <w:r>
        <w:t>This section establishes the Vistara Global Systems framework regarding Integrity and Ethical Conduct. Our organization, spanning 1,087 employees across India (Bengaluru, Hyderabad, Pune, Mumbai, Gurugram, Chennai, Kolkata, New Delhi) and internationally (Singapore, Dubai, London, Austin), relies on clear standards to maintain operational excellence.</w:t>
      </w:r>
    </w:p>
    <w:p>
      <w:pPr/>
      <w:r>
        <w:t>The provisions under Integrity and Ethical Conduct apply uniformly, with specific regional variations handled through the HR Business Partner. Strict adherence is expected from all personnel.</w:t>
      </w:r>
    </w:p>
    <w:p>
      <w:pPr>
        <w:pStyle w:val="ListBullet"/>
      </w:pPr>
      <w:r>
        <w:t>Primary responsibility for Integrity and Ethical Conduct rests with the employee and their reporting manager.</w:t>
      </w:r>
    </w:p>
    <w:p>
      <w:pPr>
        <w:pStyle w:val="ListBullet"/>
      </w:pPr>
      <w:r>
        <w:t>Vistara Global Systems integrates Integrity and Ethical Conduct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3.1 Implementation Procedures for Integrity and Ethical Conduct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3.2 Implementation Procedures for Integrity and Ethical Conduct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3.3 Implementation Procedures for Integrity and Ethical Conduct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4. Respectful Workplace and Anti-Harassment</w:t>
      </w:r>
    </w:p>
    <w:p>
      <w:pPr/>
      <w:r>
        <w:t>This section establishes the Vistara Global Systems framework regarding Respectful Workplace and Anti-Harassment. Our organization, spanning 1,087 employees across India (Bengaluru, Hyderabad, Pune, Mumbai, Gurugram, Chennai, Kolkata, New Delhi) and internationally (Singapore, Dubai, London, Austin), relies on clear standards to maintain operational excellence.</w:t>
      </w:r>
    </w:p>
    <w:p>
      <w:pPr/>
      <w:r>
        <w:t>The provisions under Respectful Workplace and Anti-Harassment apply uniformly, with specific regional variations handled through the HR Business Partner. Strict adherence is expected from all personnel.</w:t>
      </w:r>
    </w:p>
    <w:p>
      <w:pPr>
        <w:pStyle w:val="ListBullet"/>
      </w:pPr>
      <w:r>
        <w:t>Primary responsibility for Respectful Workplace and Anti-Harassment rests with the employee and their reporting manager.</w:t>
      </w:r>
    </w:p>
    <w:p>
      <w:pPr>
        <w:pStyle w:val="ListBullet"/>
      </w:pPr>
      <w:r>
        <w:t>Vistara Global Systems integrates Respectful Workplace and Anti-Harassment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Respectful Work</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4.1 Implementation Procedures for Respectful Workplace and Anti-Harassment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4.2 Implementation Procedures for Respectful Workplace and Anti-Harassment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4.3 Implementation Procedures for Respectful Workplace and Anti-Harassment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5. Conflicts of Interest Overview (Ref LEGAL-002)</w:t>
      </w:r>
    </w:p>
    <w:p>
      <w:pPr/>
      <w:r>
        <w:t>This section establishes the Vistara Global Systems framework regarding Conflicts of Interest Overview (Ref LEGAL-002). Our organization, spanning 1,087 employees across India (Bengaluru, Hyderabad, Pune, Mumbai, Gurugram, Chennai, Kolkata, New Delhi) and internationally (Singapore, Dubai, London, Austin), relies on clear standards to maintain operational excellence.</w:t>
      </w:r>
    </w:p>
    <w:p>
      <w:pPr/>
      <w:r>
        <w:t>The provisions under Conflicts of Interest Overview (Ref LEGAL-002) apply uniformly, with specific regional variations handled through the HR Business Partner. Strict adherence is expected from all personnel.</w:t>
      </w:r>
    </w:p>
    <w:p>
      <w:pPr>
        <w:pStyle w:val="ListBullet"/>
      </w:pPr>
      <w:r>
        <w:t>Primary responsibility for Conflicts of Interest Overview (Ref LEGAL-002) rests with the employee and their reporting manager.</w:t>
      </w:r>
    </w:p>
    <w:p>
      <w:pPr>
        <w:pStyle w:val="ListBullet"/>
      </w:pPr>
      <w:r>
        <w:t>Vistara Global Systems integrates Conflicts of Interest Overview (Ref LEGAL-002)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5.1 Implementation Procedures for Conflicts of Interest Overview (Ref LEGAL-002)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5.2 Implementation Procedures for Conflicts of Interest Overview (Ref LEGAL-002)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5.3 Implementation Procedures for Conflicts of Interest Overview (Ref LEGAL-002)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6. Confidentiality and Data Privacy (Ref LEGAL-006)</w:t>
      </w:r>
    </w:p>
    <w:p>
      <w:pPr/>
      <w:r>
        <w:t>This section establishes the Vistara Global Systems framework regarding Confidentiality and Data Privacy (Ref LEGAL-006). Our organization, spanning 1,087 employees across India (Bengaluru, Hyderabad, Pune, Mumbai, Gurugram, Chennai, Kolkata, New Delhi) and internationally (Singapore, Dubai, London, Austin), relies on clear standards to maintain operational excellence.</w:t>
      </w:r>
    </w:p>
    <w:p>
      <w:pPr/>
      <w:r>
        <w:t>The provisions under Confidentiality and Data Privacy (Ref LEGAL-006) apply uniformly, with specific regional variations handled through the HR Business Partner. Strict adherence is expected from all personnel.</w:t>
      </w:r>
    </w:p>
    <w:p>
      <w:pPr>
        <w:pStyle w:val="ListBullet"/>
      </w:pPr>
      <w:r>
        <w:t>Primary responsibility for Confidentiality and Data Privacy (Ref LEGAL-006) rests with the employee and their reporting manager.</w:t>
      </w:r>
    </w:p>
    <w:p>
      <w:pPr>
        <w:pStyle w:val="ListBullet"/>
      </w:pPr>
      <w:r>
        <w:t>Vistara Global Systems integrates Confidentiality and Data Privacy (Ref LEGAL-006)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6.1 Implementation Procedures for Confidentiality and Data Privacy (Ref LEGAL-006)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6.2 Implementation Procedures for Confidentiality and Data Privacy (Ref LEGAL-006)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6.3 Implementation Procedures for Confidentiality and Data Privacy (Ref LEGAL-006)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7. Misuse of Company Resources</w:t>
      </w:r>
    </w:p>
    <w:p>
      <w:pPr/>
      <w:r>
        <w:t>This section establishes the Vistara Global Systems framework regarding Misuse of Company Resources. Our organization, spanning 1,087 employees across India (Bengaluru, Hyderabad, Pune, Mumbai, Gurugram, Chennai, Kolkata, New Delhi) and internationally (Singapore, Dubai, London, Austin), relies on clear standards to maintain operational excellence.</w:t>
      </w:r>
    </w:p>
    <w:p>
      <w:pPr/>
      <w:r>
        <w:t>The provisions under Misuse of Company Resources apply uniformly, with specific regional variations handled through the HR Business Partner. Strict adherence is expected from all personnel.</w:t>
      </w:r>
    </w:p>
    <w:p>
      <w:pPr>
        <w:pStyle w:val="ListBullet"/>
      </w:pPr>
      <w:r>
        <w:t>Primary responsibility for Misuse of Company Resources rests with the employee and their reporting manager.</w:t>
      </w:r>
    </w:p>
    <w:p>
      <w:pPr>
        <w:pStyle w:val="ListBullet"/>
      </w:pPr>
      <w:r>
        <w:t>Vistara Global Systems integrates Misuse of Company Resources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7.1 Implementation Procedures for Misuse of Company Resources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7.2 Implementation Procedures for Misuse of Company Resources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7.3 Implementation Procedures for Misuse of Company Resources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8. Records and Reporting Accuracy</w:t>
      </w:r>
    </w:p>
    <w:p>
      <w:pPr/>
      <w:r>
        <w:t>This section establishes the Vistara Global Systems framework regarding Records and Reporting Accuracy. Our organization, spanning 1,087 employees across India (Bengaluru, Hyderabad, Pune, Mumbai, Gurugram, Chennai, Kolkata, New Delhi) and internationally (Singapore, Dubai, London, Austin), relies on clear standards to maintain operational excellence.</w:t>
      </w:r>
    </w:p>
    <w:p>
      <w:pPr/>
      <w:r>
        <w:t>The provisions under Records and Reporting Accuracy apply uniformly, with specific regional variations handled through the HR Business Partner. Strict adherence is expected from all personnel.</w:t>
      </w:r>
    </w:p>
    <w:p>
      <w:pPr>
        <w:pStyle w:val="ListBullet"/>
      </w:pPr>
      <w:r>
        <w:t>Primary responsibility for Records and Reporting Accuracy rests with the employee and their reporting manager.</w:t>
      </w:r>
    </w:p>
    <w:p>
      <w:pPr>
        <w:pStyle w:val="ListBullet"/>
      </w:pPr>
      <w:r>
        <w:t>Vistara Global Systems integrates Records and Reporting Accuracy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Records and Rep</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8.1 Implementation Procedures for Records and Reporting Accuracy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8.2 Implementation Procedures for Records and Reporting Accuracy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8.3 Implementation Procedures for Records and Reporting Accuracy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9. Interactions with Customers and Clients</w:t>
      </w:r>
    </w:p>
    <w:p>
      <w:pPr/>
      <w:r>
        <w:t>This section establishes the Vistara Global Systems framework regarding Interactions with Customers and Clients. Our organization, spanning 1,087 employees across India (Bengaluru, Hyderabad, Pune, Mumbai, Gurugram, Chennai, Kolkata, New Delhi) and internationally (Singapore, Dubai, London, Austin), relies on clear standards to maintain operational excellence.</w:t>
      </w:r>
    </w:p>
    <w:p>
      <w:pPr/>
      <w:r>
        <w:t>The provisions under Interactions with Customers and Clients apply uniformly, with specific regional variations handled through the HR Business Partner. Strict adherence is expected from all personnel.</w:t>
      </w:r>
    </w:p>
    <w:p>
      <w:pPr>
        <w:pStyle w:val="ListBullet"/>
      </w:pPr>
      <w:r>
        <w:t>Primary responsibility for Interactions with Customers and Clients rests with the employee and their reporting manager.</w:t>
      </w:r>
    </w:p>
    <w:p>
      <w:pPr>
        <w:pStyle w:val="ListBullet"/>
      </w:pPr>
      <w:r>
        <w:t>Vistara Global Systems integrates Interactions with Customers and Clients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9.1 Implementation Procedures for Interactions with Customers and Clients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9.2 Implementation Procedures for Interactions with Customers and Clients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9.3 Implementation Procedures for Interactions with Customers and Clients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10. Supplier and Vendor Interactions</w:t>
      </w:r>
    </w:p>
    <w:p>
      <w:pPr/>
      <w:r>
        <w:t>This section establishes the Vistara Global Systems framework regarding Supplier and Vendor Interactions.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Supplier and Vendor Interactions apply uniformly, with specific regional variations handled through the HR Business Partner. Strict adherence is expected from all personnel.</w:t>
      </w:r>
    </w:p>
    <w:p>
      <w:pPr>
        <w:pStyle w:val="ListBullet"/>
      </w:pPr>
      <w:r>
        <w:t>Primary responsibility for Supplier and Vendor Interactions rests with the employee and their reporting manager.</w:t>
      </w:r>
    </w:p>
    <w:p>
      <w:pPr>
        <w:pStyle w:val="ListBullet"/>
      </w:pPr>
      <w:r>
        <w:t>Vistara Global Systems integrates Supplier and Vendor Interactions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10.1 Implementation Procedures for Supplier and Vendor Interactions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10.2 Implementation Procedures for Supplier and Vendor Interactions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10.3 Implementation Procedures for Supplier and Vendor Interactions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11. Social Media Guidelines and Online Presence</w:t>
      </w:r>
    </w:p>
    <w:p>
      <w:pPr/>
      <w:r>
        <w:t>This section establishes the Vistara Global Systems framework regarding Social Media Guidelines and Online Presence. Our organization, spanning 1,087 employees across India (Bengaluru, Hyderabad, Pune, Mumbai, Gurugram, Chennai, Kolkata, New Delhi) and internationally (Singapore, Dubai, London, Austin), relies on clear standards to maintain operational excellence.</w:t>
      </w:r>
    </w:p>
    <w:p>
      <w:pPr/>
      <w:r>
        <w:t>The provisions under Social Media Guidelines and Online Presence apply uniformly, with specific regional variations handled through the HR Business Partner. Strict adherence is expected from all personnel.</w:t>
      </w:r>
    </w:p>
    <w:p>
      <w:pPr>
        <w:pStyle w:val="ListBullet"/>
      </w:pPr>
      <w:r>
        <w:t>Primary responsibility for Social Media Guidelines and Online Presence rests with the employee and their reporting manager.</w:t>
      </w:r>
    </w:p>
    <w:p>
      <w:pPr>
        <w:pStyle w:val="ListBullet"/>
      </w:pPr>
      <w:r>
        <w:t>Vistara Global Systems integrates Social Media Guidelines and Online Presence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11.1 Implementation Procedures for Social Media Guidelines and Online Presence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11.2 Implementation Procedures for Social Media Guidelines and Online Presence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11.3 Implementation Procedures for Social Media Guidelines and Online Presence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12. Gifts and Entertainment Policy</w:t>
      </w:r>
    </w:p>
    <w:p>
      <w:pPr/>
      <w:r>
        <w:t>This section establishes the Vistara Global Systems framework regarding Gifts and Entertainment Policy. Our organization, spanning 1,087 employees across India (Bengaluru, Hyderabad, Pune, Mumbai, Gurugram, Chennai, Kolkata, New Delhi) and internationally (Singapore, Dubai, London, Austin), relies on clear standards to maintain operational excellence.</w:t>
      </w:r>
    </w:p>
    <w:p>
      <w:pPr/>
      <w:r>
        <w:t>The provisions under Gifts and Entertainment Policy apply uniformly, with specific regional variations handled through the HR Business Partner. Strict adherence is expected from all personnel.</w:t>
      </w:r>
    </w:p>
    <w:p>
      <w:pPr>
        <w:pStyle w:val="ListBullet"/>
      </w:pPr>
      <w:r>
        <w:t>Primary responsibility for Gifts and Entertainment Policy rests with the employee and their reporting manager.</w:t>
      </w:r>
    </w:p>
    <w:p>
      <w:pPr>
        <w:pStyle w:val="ListBullet"/>
      </w:pPr>
      <w:r>
        <w:t>Vistara Global Systems integrates Gifts and Entertainment Policy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Gifts and Enter</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12.1 Implementation Procedures for Gifts and Entertainment Policy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12.2 Implementation Procedures for Gifts and Entertainment Policy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12.3 Implementation Procedures for Gifts and Entertainment Policy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13. Anti-Bribery and Corruption</w:t>
      </w:r>
    </w:p>
    <w:p>
      <w:pPr/>
      <w:r>
        <w:t>This section establishes the Vistara Global Systems framework regarding Anti-Bribery and Corruption. Our organization, spanning 1,087 employees across India (Bengaluru, Hyderabad, Pune, Mumbai, Gurugram, Chennai, Kolkata, New Delhi) and internationally (Singapore, Dubai, London, Austin), relies on clear standards to maintain operational excellence.</w:t>
      </w:r>
    </w:p>
    <w:p>
      <w:pPr/>
      <w:r>
        <w:t>The provisions under Anti-Bribery and Corruption apply uniformly, with specific regional variations handled through the HR Business Partner. Strict adherence is expected from all personnel.</w:t>
      </w:r>
    </w:p>
    <w:p>
      <w:pPr>
        <w:pStyle w:val="ListBullet"/>
      </w:pPr>
      <w:r>
        <w:t>Primary responsibility for Anti-Bribery and Corruption rests with the employee and their reporting manager.</w:t>
      </w:r>
    </w:p>
    <w:p>
      <w:pPr>
        <w:pStyle w:val="ListBullet"/>
      </w:pPr>
      <w:r>
        <w:t>Vistara Global Systems integrates Anti-Bribery and Corruption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13.1 Implementation Procedures for Anti-Bribery and Corruption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13.2 Implementation Procedures for Anti-Bribery and Corruption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13.3 Implementation Procedures for Anti-Bribery and Corruption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14. Fair Competition and Antitrust</w:t>
      </w:r>
    </w:p>
    <w:p>
      <w:pPr/>
      <w:r>
        <w:t>This section establishes the Vistara Global Systems framework regarding Fair Competition and Antitrust. Our organization, spanning 1,087 employees across India (Bengaluru, Hyderabad, Pune, Mumbai, Gurugram, Chennai, Kolkata, New Delhi) and internationally (Singapore, Dubai, London, Austin), relies on clear standards to maintain operational excellence.</w:t>
      </w:r>
    </w:p>
    <w:p>
      <w:pPr/>
      <w:r>
        <w:t>The provisions under Fair Competition and Antitrust apply uniformly, with specific regional variations handled through the HR Business Partner. Strict adherence is expected from all personnel.</w:t>
      </w:r>
    </w:p>
    <w:p>
      <w:pPr>
        <w:pStyle w:val="ListBullet"/>
      </w:pPr>
      <w:r>
        <w:t>Primary responsibility for Fair Competition and Antitrust rests with the employee and their reporting manager.</w:t>
      </w:r>
    </w:p>
    <w:p>
      <w:pPr>
        <w:pStyle w:val="ListBullet"/>
      </w:pPr>
      <w:r>
        <w:t>Vistara Global Systems integrates Fair Competition and Antitrust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14.1 Implementation Procedures for Fair Competition and Antitrust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14.2 Implementation Procedures for Fair Competition and Antitrust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14.3 Implementation Procedures for Fair Competition and Antitrust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15. Insider Trading Prevention</w:t>
      </w:r>
    </w:p>
    <w:p>
      <w:pPr/>
      <w:r>
        <w:t>This section establishes the Vistara Global Systems framework regarding Insider Trading Prevention. Our organization, spanning 1,087 employees across India (Bengaluru, Hyderabad, Pune, Mumbai, Gurugram, Chennai, Kolkata, New Delhi) and internationally (Singapore, Dubai, London, Austin), relies on clear standards to maintain operational excellence.</w:t>
      </w:r>
    </w:p>
    <w:p>
      <w:pPr/>
      <w:r>
        <w:t>The provisions under Insider Trading Prevention apply uniformly, with specific regional variations handled through the HR Business Partner. Strict adherence is expected from all personnel.</w:t>
      </w:r>
    </w:p>
    <w:p>
      <w:pPr>
        <w:pStyle w:val="ListBullet"/>
      </w:pPr>
      <w:r>
        <w:t>Primary responsibility for Insider Trading Prevention rests with the employee and their reporting manager.</w:t>
      </w:r>
    </w:p>
    <w:p>
      <w:pPr>
        <w:pStyle w:val="ListBullet"/>
      </w:pPr>
      <w:r>
        <w:t>Vistara Global Systems integrates Insider Trading Prevention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15.1 Implementation Procedures for Insider Trading Prevention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15.2 Implementation Procedures for Insider Trading Prevention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15.3 Implementation Procedures for Insider Trading Prevention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16. Reporting Mechanisms and Ethics Hotline</w:t>
      </w:r>
    </w:p>
    <w:p>
      <w:pPr/>
      <w:r>
        <w:t>This section establishes the Vistara Global Systems framework regarding Reporting Mechanisms and Ethics Hotline. Our organization, spanning 1,087 employees across India (Bengaluru, Hyderabad, Pune, Mumbai, Gurugram, Chennai, Kolkata, New Delhi) and internationally (Singapore, Dubai, London, Austin), relies on clear standards to maintain operational excellence.</w:t>
      </w:r>
    </w:p>
    <w:p>
      <w:pPr/>
      <w:r>
        <w:t>The provisions under Reporting Mechanisms and Ethics Hotline apply uniformly, with specific regional variations handled through the HR Business Partner. Strict adherence is expected from all personnel.</w:t>
      </w:r>
    </w:p>
    <w:p>
      <w:pPr>
        <w:pStyle w:val="ListBullet"/>
      </w:pPr>
      <w:r>
        <w:t>Primary responsibility for Reporting Mechanisms and Ethics Hotline rests with the employee and their reporting manager.</w:t>
      </w:r>
    </w:p>
    <w:p>
      <w:pPr>
        <w:pStyle w:val="ListBullet"/>
      </w:pPr>
      <w:r>
        <w:t>Vistara Global Systems integrates Reporting Mechanisms and Ethics Hotline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Reporting Mecha</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16.1 Implementation Procedures for Reporting Mechanisms and Ethics Hotline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16.2 Implementation Procedures for Reporting Mechanisms and Ethics Hotline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16.3 Implementation Procedures for Reporting Mechanisms and Ethics Hotline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17. Manager Escalation Paths</w:t>
      </w:r>
    </w:p>
    <w:p>
      <w:pPr/>
      <w:r>
        <w:t>This section establishes the Vistara Global Systems framework regarding Manager Escalation Paths. Our organization, spanning 1,087 employees across India (Bengaluru, Hyderabad, Pune, Mumbai, Gurugram, Chennai, Kolkata, New Delhi) and internationally (Singapore, Dubai, London, Austin), relies on clear standards to maintain operational excellence.</w:t>
      </w:r>
    </w:p>
    <w:p>
      <w:pPr/>
      <w:r>
        <w:t>The provisions under Manager Escalation Paths apply uniformly, with specific regional variations handled through the HR Business Partner. Strict adherence is expected from all personnel.</w:t>
      </w:r>
    </w:p>
    <w:p>
      <w:pPr>
        <w:pStyle w:val="ListBullet"/>
      </w:pPr>
      <w:r>
        <w:t>Primary responsibility for Manager Escalation Paths rests with the employee and their reporting manager.</w:t>
      </w:r>
    </w:p>
    <w:p>
      <w:pPr>
        <w:pStyle w:val="ListBullet"/>
      </w:pPr>
      <w:r>
        <w:t>Vistara Global Systems integrates Manager Escalation Paths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17.1 Implementation Procedures for Manager Escalation Paths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17.2 Implementation Procedures for Manager Escalation Paths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17.3 Implementation Procedures for Manager Escalation Paths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18. HR Investigation Procedures</w:t>
      </w:r>
    </w:p>
    <w:p>
      <w:pPr/>
      <w:r>
        <w:t>This section establishes the Vistara Global Systems framework regarding HR Investigation Procedures. Our organization, spanning 1,087 employees across India (Bengaluru, Hyderabad, Pune, Mumbai, Gurugram, Chennai, Kolkata, New Delhi) and internationally (Singapore, Dubai, London, Austin), relies on clear standards to maintain operational excellence.</w:t>
      </w:r>
    </w:p>
    <w:p>
      <w:pPr/>
      <w:r>
        <w:t>The provisions under HR Investigation Procedures apply uniformly, with specific regional variations handled through the HR Business Partner. Strict adherence is expected from all personnel.</w:t>
      </w:r>
    </w:p>
    <w:p>
      <w:pPr>
        <w:pStyle w:val="ListBullet"/>
      </w:pPr>
      <w:r>
        <w:t>Primary responsibility for HR Investigation Procedures rests with the employee and their reporting manager.</w:t>
      </w:r>
    </w:p>
    <w:p>
      <w:pPr>
        <w:pStyle w:val="ListBullet"/>
      </w:pPr>
      <w:r>
        <w:t>Vistara Global Systems integrates HR Investigation Procedures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18.1 Implementation Procedures for HR Investigation Procedures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18.2 Implementation Procedures for HR Investigation Procedures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18.3 Implementation Procedures for HR Investigation Procedures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19. Non-Retaliation Policy</w:t>
      </w:r>
    </w:p>
    <w:p>
      <w:pPr/>
      <w:r>
        <w:t>This section establishes the Vistara Global Systems framework regarding Non-Retaliation Policy. Our organization, spanning 1,087 employees across India (Bengaluru, Hyderabad, Pune, Mumbai, Gurugram, Chennai, Kolkata, New Delhi) and internationally (Singapore, Dubai, London, Austin), relies on clear standards to maintain operational excellence.</w:t>
      </w:r>
    </w:p>
    <w:p>
      <w:pPr/>
      <w:r>
        <w:t>The provisions under Non-Retaliation Policy apply uniformly, with specific regional variations handled through the HR Business Partner. Strict adherence is expected from all personnel.</w:t>
      </w:r>
    </w:p>
    <w:p>
      <w:pPr>
        <w:pStyle w:val="ListBullet"/>
      </w:pPr>
      <w:r>
        <w:t>Primary responsibility for Non-Retaliation Policy rests with the employee and their reporting manager.</w:t>
      </w:r>
    </w:p>
    <w:p>
      <w:pPr>
        <w:pStyle w:val="ListBullet"/>
      </w:pPr>
      <w:r>
        <w:t>Vistara Global Systems integrates Non-Retaliation Policy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19.1 Implementation Procedures for Non-Retaliation Policy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19.2 Implementation Procedures for Non-Retaliation Policy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19.3 Implementation Procedures for Non-Retaliation Policy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20. Political Activities and Contributions</w:t>
      </w:r>
    </w:p>
    <w:p>
      <w:pPr/>
      <w:r>
        <w:t>This section establishes the Vistara Global Systems framework regarding Political Activities and Contributions.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Political Activities and Contributions apply uniformly, with specific regional variations handled through the HR Business Partner. Strict adherence is expected from all personnel.</w:t>
      </w:r>
    </w:p>
    <w:p>
      <w:pPr>
        <w:pStyle w:val="ListBullet"/>
      </w:pPr>
      <w:r>
        <w:t>Primary responsibility for Political Activities and Contributions rests with the employee and their reporting manager.</w:t>
      </w:r>
    </w:p>
    <w:p>
      <w:pPr>
        <w:pStyle w:val="ListBullet"/>
      </w:pPr>
      <w:r>
        <w:t>Vistara Global Systems integrates Political Activities and Contributions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Political Activ</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20.1 Implementation Procedures for Political Activities and Contributions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20.2 Implementation Procedures for Political Activities and Contributions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20.3 Implementation Procedures for Political Activities and Contributions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21. Environmental Sustainability</w:t>
      </w:r>
    </w:p>
    <w:p>
      <w:pPr/>
      <w:r>
        <w:t>This section establishes the Vistara Global Systems framework regarding Environmental Sustainability. Our organization, spanning 1,087 employees across India (Bengaluru, Hyderabad, Pune, Mumbai, Gurugram, Chennai, Kolkata, New Delhi) and internationally (Singapore, Dubai, London, Austin), relies on clear standards to maintain operational excellence.</w:t>
      </w:r>
    </w:p>
    <w:p>
      <w:pPr/>
      <w:r>
        <w:t>The provisions under Environmental Sustainability apply uniformly, with specific regional variations handled through the HR Business Partner. Strict adherence is expected from all personnel.</w:t>
      </w:r>
    </w:p>
    <w:p>
      <w:pPr>
        <w:pStyle w:val="ListBullet"/>
      </w:pPr>
      <w:r>
        <w:t>Primary responsibility for Environmental Sustainability rests with the employee and their reporting manager.</w:t>
      </w:r>
    </w:p>
    <w:p>
      <w:pPr>
        <w:pStyle w:val="ListBullet"/>
      </w:pPr>
      <w:r>
        <w:t>Vistara Global Systems integrates Environmental Sustainability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21.1 Implementation Procedures for Environmental Sustainability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21.2 Implementation Procedures for Environmental Sustainability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21.3 Implementation Procedures for Environmental Sustainability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22. Human Rights and Labor Practices</w:t>
      </w:r>
    </w:p>
    <w:p>
      <w:pPr/>
      <w:r>
        <w:t>This section establishes the Vistara Global Systems framework regarding Human Rights and Labor Practices. Our organization, spanning 1,087 employees across India (Bengaluru, Hyderabad, Pune, Mumbai, Gurugram, Chennai, Kolkata, New Delhi) and internationally (Singapore, Dubai, London, Austin), relies on clear standards to maintain operational excellence.</w:t>
      </w:r>
    </w:p>
    <w:p>
      <w:pPr/>
      <w:r>
        <w:t>The provisions under Human Rights and Labor Practices apply uniformly, with specific regional variations handled through the HR Business Partner. Strict adherence is expected from all personnel.</w:t>
      </w:r>
    </w:p>
    <w:p>
      <w:pPr>
        <w:pStyle w:val="ListBullet"/>
      </w:pPr>
      <w:r>
        <w:t>Primary responsibility for Human Rights and Labor Practices rests with the employee and their reporting manager.</w:t>
      </w:r>
    </w:p>
    <w:p>
      <w:pPr>
        <w:pStyle w:val="ListBullet"/>
      </w:pPr>
      <w:r>
        <w:t>Vistara Global Systems integrates Human Rights and Labor Practices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22.1 Implementation Procedures for Human Rights and Labor Practices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22.2 Implementation Procedures for Human Rights and Labor Practices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22.3 Implementation Procedures for Human Rights and Labor Practices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23. Substance Abuse and Alcohol</w:t>
      </w:r>
    </w:p>
    <w:p>
      <w:pPr/>
      <w:r>
        <w:t>This section establishes the Vistara Global Systems framework regarding Substance Abuse and Alcohol. Our organization, spanning 1,087 employees across India (Bengaluru, Hyderabad, Pune, Mumbai, Gurugram, Chennai, Kolkata, New Delhi) and internationally (Singapore, Dubai, London, Austin), relies on clear standards to maintain operational excellence.</w:t>
      </w:r>
    </w:p>
    <w:p>
      <w:pPr/>
      <w:r>
        <w:t>The provisions under Substance Abuse and Alcohol apply uniformly, with specific regional variations handled through the HR Business Partner. Strict adherence is expected from all personnel.</w:t>
      </w:r>
    </w:p>
    <w:p>
      <w:pPr>
        <w:pStyle w:val="ListBullet"/>
      </w:pPr>
      <w:r>
        <w:t>Primary responsibility for Substance Abuse and Alcohol rests with the employee and their reporting manager.</w:t>
      </w:r>
    </w:p>
    <w:p>
      <w:pPr>
        <w:pStyle w:val="ListBullet"/>
      </w:pPr>
      <w:r>
        <w:t>Vistara Global Systems integrates Substance Abuse and Alcohol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23.1 Implementation Procedures for Substance Abuse and Alcohol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23.2 Implementation Procedures for Substance Abuse and Alcohol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23.3 Implementation Procedures for Substance Abuse and Alcohol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24. Dress Code and Personal Appearance</w:t>
      </w:r>
    </w:p>
    <w:p>
      <w:pPr/>
      <w:r>
        <w:t>This section establishes the Vistara Global Systems framework regarding Dress Code and Personal Appearance. Our organization, spanning 1,087 employees across India (Bengaluru, Hyderabad, Pune, Mumbai, Gurugram, Chennai, Kolkata, New Delhi) and internationally (Singapore, Dubai, London, Austin), relies on clear standards to maintain operational excellence.</w:t>
      </w:r>
    </w:p>
    <w:p>
      <w:pPr/>
      <w:r>
        <w:t>The provisions under Dress Code and Personal Appearance apply uniformly, with specific regional variations handled through the HR Business Partner. Strict adherence is expected from all personnel.</w:t>
      </w:r>
    </w:p>
    <w:p>
      <w:pPr>
        <w:pStyle w:val="ListBullet"/>
      </w:pPr>
      <w:r>
        <w:t>Primary responsibility for Dress Code and Personal Appearance rests with the employee and their reporting manager.</w:t>
      </w:r>
    </w:p>
    <w:p>
      <w:pPr>
        <w:pStyle w:val="ListBullet"/>
      </w:pPr>
      <w:r>
        <w:t>Vistara Global Systems integrates Dress Code and Personal Appearance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 xml:space="preserve">Responsibility regarding Dress Code and </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24.1 Implementation Procedures for Dress Code and Personal Appearance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24.2 Implementation Procedures for Dress Code and Personal Appearance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24.3 Implementation Procedures for Dress Code and Personal Appearance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25. Outside Employment and Moonlighting</w:t>
      </w:r>
    </w:p>
    <w:p>
      <w:pPr/>
      <w:r>
        <w:t>This section establishes the Vistara Global Systems framework regarding Outside Employment and Moonlighting. Our organization, spanning 1,087 employees across India (Bengaluru, Hyderabad, Pune, Mumbai, Gurugram, Chennai, Kolkata, New Delhi) and internationally (Singapore, Dubai, London, Austin), relies on clear standards to maintain operational excellence.</w:t>
      </w:r>
    </w:p>
    <w:p>
      <w:pPr/>
      <w:r>
        <w:t>The provisions under Outside Employment and Moonlighting apply uniformly, with specific regional variations handled through the HR Business Partner. Strict adherence is expected from all personnel.</w:t>
      </w:r>
    </w:p>
    <w:p>
      <w:pPr>
        <w:pStyle w:val="ListBullet"/>
      </w:pPr>
      <w:r>
        <w:t>Primary responsibility for Outside Employment and Moonlighting rests with the employee and their reporting manager.</w:t>
      </w:r>
    </w:p>
    <w:p>
      <w:pPr>
        <w:pStyle w:val="ListBullet"/>
      </w:pPr>
      <w:r>
        <w:t>Vistara Global Systems integrates Outside Employment and Moonlighting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25.1 Implementation Procedures for Outside Employment and Moonlighting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25.2 Implementation Procedures for Outside Employment and Moonlighting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25.3 Implementation Procedures for Outside Employment and Moonlighting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26. Personal Relationships at Work</w:t>
      </w:r>
    </w:p>
    <w:p>
      <w:pPr/>
      <w:r>
        <w:t>This section establishes the Vistara Global Systems framework regarding Personal Relationships at Work. Our organization, spanning 1,087 employees across India (Bengaluru, Hyderabad, Pune, Mumbai, Gurugram, Chennai, Kolkata, New Delhi) and internationally (Singapore, Dubai, London, Austin), relies on clear standards to maintain operational excellence.</w:t>
      </w:r>
    </w:p>
    <w:p>
      <w:pPr/>
      <w:r>
        <w:t>The provisions under Personal Relationships at Work apply uniformly, with specific regional variations handled through the HR Business Partner. Strict adherence is expected from all personnel.</w:t>
      </w:r>
    </w:p>
    <w:p>
      <w:pPr>
        <w:pStyle w:val="ListBullet"/>
      </w:pPr>
      <w:r>
        <w:t>Primary responsibility for Personal Relationships at Work rests with the employee and their reporting manager.</w:t>
      </w:r>
    </w:p>
    <w:p>
      <w:pPr>
        <w:pStyle w:val="ListBullet"/>
      </w:pPr>
      <w:r>
        <w:t>Vistara Global Systems integrates Personal Relationships at Work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26.1 Implementation Procedures for Personal Relationships at Work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26.2 Implementation Procedures for Personal Relationships at Work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26.3 Implementation Procedures for Personal Relationships at Work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27. Protecting Vistara Intellectual Property</w:t>
      </w:r>
    </w:p>
    <w:p>
      <w:pPr/>
      <w:r>
        <w:t>This section establishes the Vistara Global Systems framework regarding Protecting Vistara Intellectual Property. Our organization, spanning 1,087 employees across India (Bengaluru, Hyderabad, Pune, Mumbai, Gurugram, Chennai, Kolkata, New Delhi) and internationally (Singapore, Dubai, London, Austin), relies on clear standards to maintain operational excellence.</w:t>
      </w:r>
    </w:p>
    <w:p>
      <w:pPr/>
      <w:r>
        <w:t>The provisions under Protecting Vistara Intellectual Property apply uniformly, with specific regional variations handled through the HR Business Partner. Strict adherence is expected from all personnel.</w:t>
      </w:r>
    </w:p>
    <w:p>
      <w:pPr>
        <w:pStyle w:val="ListBullet"/>
      </w:pPr>
      <w:r>
        <w:t>Primary responsibility for Protecting Vistara Intellectual Property rests with the employee and their reporting manager.</w:t>
      </w:r>
    </w:p>
    <w:p>
      <w:pPr>
        <w:pStyle w:val="ListBullet"/>
      </w:pPr>
      <w:r>
        <w:t>Vistara Global Systems integrates Protecting Vistara Intellectual Property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27.1 Implementation Procedures for Protecting Vistara Intellectual Property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27.2 Implementation Procedures for Protecting Vistara Intellectual Property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27.3 Implementation Procedures for Protecting Vistara Intellectual Property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28. Handling External Audits and Inquiries</w:t>
      </w:r>
    </w:p>
    <w:p>
      <w:pPr/>
      <w:r>
        <w:t>This section establishes the Vistara Global Systems framework regarding Handling External Audits and Inquiries. Our organization, spanning 1,087 employees across India (Bengaluru, Hyderabad, Pune, Mumbai, Gurugram, Chennai, Kolkata, New Delhi) and internationally (Singapore, Dubai, London, Austin), relies on clear standards to maintain operational excellence.</w:t>
      </w:r>
    </w:p>
    <w:p>
      <w:pPr/>
      <w:r>
        <w:t>The provisions under Handling External Audits and Inquiries apply uniformly, with specific regional variations handled through the HR Business Partner. Strict adherence is expected from all personnel.</w:t>
      </w:r>
    </w:p>
    <w:p>
      <w:pPr>
        <w:pStyle w:val="ListBullet"/>
      </w:pPr>
      <w:r>
        <w:t>Primary responsibility for Handling External Audits and Inquiries rests with the employee and their reporting manager.</w:t>
      </w:r>
    </w:p>
    <w:p>
      <w:pPr>
        <w:pStyle w:val="ListBullet"/>
      </w:pPr>
      <w:r>
        <w:t>Vistara Global Systems integrates Handling External Audits and Inquiries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Handling Extern</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28.1 Implementation Procedures for Handling External Audits and Inquiries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28.2 Implementation Procedures for Handling External Audits and Inquiries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28.3 Implementation Procedures for Handling External Audits and Inquiries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29. Consequences of Violations</w:t>
      </w:r>
    </w:p>
    <w:p>
      <w:pPr/>
      <w:r>
        <w:t>This section establishes the Vistara Global Systems framework regarding Consequences of Violations.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Consequences of Violations apply uniformly, with specific regional variations handled through the HR Business Partner. Strict adherence is expected from all personnel.</w:t>
      </w:r>
    </w:p>
    <w:p>
      <w:pPr>
        <w:pStyle w:val="ListBullet"/>
      </w:pPr>
      <w:r>
        <w:t>Primary responsibility for Consequences of Violations rests with the employee and their reporting manager.</w:t>
      </w:r>
    </w:p>
    <w:p>
      <w:pPr>
        <w:pStyle w:val="ListBullet"/>
      </w:pPr>
      <w:r>
        <w:t>Vistara Global Systems integrates Consequences of Violations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29.1 Implementation Procedures for Consequences of Violations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29.2 Implementation Procedures for Consequences of Violations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29.3 Implementation Procedures for Consequences of Violations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30. Annual Certification Requirement</w:t>
      </w:r>
    </w:p>
    <w:p>
      <w:pPr/>
      <w:r>
        <w:t>This section establishes the Vistara Global Systems framework regarding Annual Certification Requirement. Our organization, spanning 1,087 employees across India (Bengaluru, Hyderabad, Pune, Mumbai, Gurugram, Chennai, Kolkata, New Delhi) and internationally (Singapore, Dubai, London, Austin), relies on clear standards to maintain operational excellence.</w:t>
      </w:r>
    </w:p>
    <w:p>
      <w:pPr/>
      <w:r>
        <w:t>The provisions under Annual Certification Requirement apply uniformly, with specific regional variations handled through the HR Business Partner. Strict adherence is expected from all personnel.</w:t>
      </w:r>
    </w:p>
    <w:p>
      <w:pPr>
        <w:pStyle w:val="ListBullet"/>
      </w:pPr>
      <w:r>
        <w:t>Primary responsibility for Annual Certification Requirement rests with the employee and their reporting manager.</w:t>
      </w:r>
    </w:p>
    <w:p>
      <w:pPr>
        <w:pStyle w:val="ListBullet"/>
      </w:pPr>
      <w:r>
        <w:t>Vistara Global Systems integrates Annual Certification Requirement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30.1 Implementation Procedures for Annual Certification Requirement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30.2 Implementation Procedures for Annual Certification Requirement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30.3 Implementation Procedures for Annual Certification Requirement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31. Frequently Asked Questions (FAQ)</w:t>
      </w:r>
    </w:p>
    <w:p>
      <w:r>
        <w:rPr>
          <w:rFonts w:ascii="Calibri" w:hAnsi="Calibri"/>
          <w:b/>
          <w:color w:val="1B3A5C"/>
          <w:sz w:val="22"/>
        </w:rPr>
        <w:t>Q: Code of Conduct Q1?</w:t>
      </w:r>
    </w:p>
    <w:p>
      <w:pPr>
        <w:spacing w:after="240"/>
      </w:pPr>
      <w:r>
        <w:rPr>
          <w:rFonts w:ascii="Calibri" w:hAnsi="Calibri"/>
          <w:color w:val="333333"/>
          <w:sz w:val="22"/>
        </w:rPr>
        <w:t>A: Code of Conduct A1: Ensure ethical guidelines are strictly followed.</w:t>
      </w:r>
    </w:p>
    <w:p>
      <w:r>
        <w:rPr>
          <w:rFonts w:ascii="Calibri" w:hAnsi="Calibri"/>
          <w:b/>
          <w:color w:val="1B3A5C"/>
          <w:sz w:val="22"/>
        </w:rPr>
        <w:t>Q: Code of Conduct Q2?</w:t>
      </w:r>
    </w:p>
    <w:p>
      <w:pPr>
        <w:spacing w:after="240"/>
      </w:pPr>
      <w:r>
        <w:rPr>
          <w:rFonts w:ascii="Calibri" w:hAnsi="Calibri"/>
          <w:color w:val="333333"/>
          <w:sz w:val="22"/>
        </w:rPr>
        <w:t>A: Code of Conduct A2: Ensure ethical guidelines are strictly followed.</w:t>
      </w:r>
    </w:p>
    <w:p>
      <w:r>
        <w:rPr>
          <w:rFonts w:ascii="Calibri" w:hAnsi="Calibri"/>
          <w:b/>
          <w:color w:val="1B3A5C"/>
          <w:sz w:val="22"/>
        </w:rPr>
        <w:t>Q: Code of Conduct Q3?</w:t>
      </w:r>
    </w:p>
    <w:p>
      <w:pPr>
        <w:spacing w:after="240"/>
      </w:pPr>
      <w:r>
        <w:rPr>
          <w:rFonts w:ascii="Calibri" w:hAnsi="Calibri"/>
          <w:color w:val="333333"/>
          <w:sz w:val="22"/>
        </w:rPr>
        <w:t>A: Code of Conduct A3: Ensure ethical guidelines are strictly followed.</w:t>
      </w:r>
    </w:p>
    <w:p>
      <w:r>
        <w:rPr>
          <w:rFonts w:ascii="Calibri" w:hAnsi="Calibri"/>
          <w:b/>
          <w:color w:val="1B3A5C"/>
          <w:sz w:val="22"/>
        </w:rPr>
        <w:t>Q: Code of Conduct Q4?</w:t>
      </w:r>
    </w:p>
    <w:p>
      <w:pPr>
        <w:spacing w:after="240"/>
      </w:pPr>
      <w:r>
        <w:rPr>
          <w:rFonts w:ascii="Calibri" w:hAnsi="Calibri"/>
          <w:color w:val="333333"/>
          <w:sz w:val="22"/>
        </w:rPr>
        <w:t>A: Code of Conduct A4: Ensure ethical guidelines are strictly followed.</w:t>
      </w:r>
    </w:p>
    <w:p>
      <w:r>
        <w:rPr>
          <w:rFonts w:ascii="Calibri" w:hAnsi="Calibri"/>
          <w:b/>
          <w:color w:val="1B3A5C"/>
          <w:sz w:val="22"/>
        </w:rPr>
        <w:t>Q: Code of Conduct Q5?</w:t>
      </w:r>
    </w:p>
    <w:p>
      <w:pPr>
        <w:spacing w:after="240"/>
      </w:pPr>
      <w:r>
        <w:rPr>
          <w:rFonts w:ascii="Calibri" w:hAnsi="Calibri"/>
          <w:color w:val="333333"/>
          <w:sz w:val="22"/>
        </w:rPr>
        <w:t>A: Code of Conduct A5: Ensure ethical guidelines are strictly followed.</w:t>
      </w:r>
    </w:p>
    <w:p>
      <w:r>
        <w:rPr>
          <w:rFonts w:ascii="Calibri" w:hAnsi="Calibri"/>
          <w:b/>
          <w:color w:val="1B3A5C"/>
          <w:sz w:val="22"/>
        </w:rPr>
        <w:t>Q: Code of Conduct Q6?</w:t>
      </w:r>
    </w:p>
    <w:p>
      <w:pPr>
        <w:spacing w:after="240"/>
      </w:pPr>
      <w:r>
        <w:rPr>
          <w:rFonts w:ascii="Calibri" w:hAnsi="Calibri"/>
          <w:color w:val="333333"/>
          <w:sz w:val="22"/>
        </w:rPr>
        <w:t>A: Code of Conduct A6: Ensure ethical guidelines are strictly followed.</w:t>
      </w:r>
    </w:p>
    <w:p>
      <w:r>
        <w:rPr>
          <w:rFonts w:ascii="Calibri" w:hAnsi="Calibri"/>
          <w:b/>
          <w:color w:val="1B3A5C"/>
          <w:sz w:val="22"/>
        </w:rPr>
        <w:t>Q: Code of Conduct Q7?</w:t>
      </w:r>
    </w:p>
    <w:p>
      <w:pPr>
        <w:spacing w:after="240"/>
      </w:pPr>
      <w:r>
        <w:rPr>
          <w:rFonts w:ascii="Calibri" w:hAnsi="Calibri"/>
          <w:color w:val="333333"/>
          <w:sz w:val="22"/>
        </w:rPr>
        <w:t>A: Code of Conduct A7: Ensure ethical guidelines are strictly followed.</w:t>
      </w:r>
    </w:p>
    <w:p>
      <w:r>
        <w:rPr>
          <w:rFonts w:ascii="Calibri" w:hAnsi="Calibri"/>
          <w:b/>
          <w:color w:val="1B3A5C"/>
          <w:sz w:val="22"/>
        </w:rPr>
        <w:t>Q: Code of Conduct Q8?</w:t>
      </w:r>
    </w:p>
    <w:p>
      <w:pPr>
        <w:spacing w:after="240"/>
      </w:pPr>
      <w:r>
        <w:rPr>
          <w:rFonts w:ascii="Calibri" w:hAnsi="Calibri"/>
          <w:color w:val="333333"/>
          <w:sz w:val="22"/>
        </w:rPr>
        <w:t>A: Code of Conduct A8: Ensure ethical guidelines are strictly followed.</w:t>
      </w:r>
    </w:p>
    <w:p>
      <w:r>
        <w:rPr>
          <w:rFonts w:ascii="Calibri" w:hAnsi="Calibri"/>
          <w:b/>
          <w:color w:val="1B3A5C"/>
          <w:sz w:val="22"/>
        </w:rPr>
        <w:t>Q: Code of Conduct Q9?</w:t>
      </w:r>
    </w:p>
    <w:p>
      <w:pPr>
        <w:spacing w:after="240"/>
      </w:pPr>
      <w:r>
        <w:rPr>
          <w:rFonts w:ascii="Calibri" w:hAnsi="Calibri"/>
          <w:color w:val="333333"/>
          <w:sz w:val="22"/>
        </w:rPr>
        <w:t>A: Code of Conduct A9: Ensure ethical guidelines are strictly followed.</w:t>
      </w:r>
    </w:p>
    <w:p>
      <w:r>
        <w:rPr>
          <w:rFonts w:ascii="Calibri" w:hAnsi="Calibri"/>
          <w:b/>
          <w:color w:val="1B3A5C"/>
          <w:sz w:val="22"/>
        </w:rPr>
        <w:t>Q: Code of Conduct Q10?</w:t>
      </w:r>
    </w:p>
    <w:p>
      <w:pPr>
        <w:spacing w:after="240"/>
      </w:pPr>
      <w:r>
        <w:rPr>
          <w:rFonts w:ascii="Calibri" w:hAnsi="Calibri"/>
          <w:color w:val="333333"/>
          <w:sz w:val="22"/>
        </w:rPr>
        <w:t>A: Code of Conduct A10: Ensure ethical guidelines are strictly followed.</w:t>
      </w:r>
    </w:p>
    <w:p>
      <w:r>
        <w:rPr>
          <w:rFonts w:ascii="Calibri" w:hAnsi="Calibri"/>
          <w:b/>
          <w:color w:val="1B3A5C"/>
          <w:sz w:val="22"/>
        </w:rPr>
        <w:t>Q: Code of Conduct Q11?</w:t>
      </w:r>
    </w:p>
    <w:p>
      <w:pPr>
        <w:spacing w:after="240"/>
      </w:pPr>
      <w:r>
        <w:rPr>
          <w:rFonts w:ascii="Calibri" w:hAnsi="Calibri"/>
          <w:color w:val="333333"/>
          <w:sz w:val="22"/>
        </w:rPr>
        <w:t>A: Code of Conduct A11: Ensure ethical guidelines are strictly followed.</w:t>
      </w:r>
    </w:p>
    <w:p>
      <w:pPr>
        <w:pStyle w:val="Heading1"/>
      </w:pPr>
      <w:r>
        <w:t>32. Workplace Scenarios</w:t>
      </w:r>
    </w:p>
    <w:p>
      <w:pPr>
        <w:pStyle w:val="Heading3"/>
      </w:pPr>
      <w:r>
        <w:t>Scenario 1: Ethical Dilemma</w:t>
      </w:r>
    </w:p>
    <w:p>
      <w:r>
        <w:rPr>
          <w:b/>
          <w:color w:val="1B3A5C"/>
        </w:rPr>
        <w:t xml:space="preserve">Situation: </w:t>
      </w:r>
      <w:r>
        <w:t>Aparna Bhat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2: Ethical Dilemma</w:t>
      </w:r>
    </w:p>
    <w:p>
      <w:r>
        <w:rPr>
          <w:b/>
          <w:color w:val="1B3A5C"/>
        </w:rPr>
        <w:t xml:space="preserve">Situation: </w:t>
      </w:r>
      <w:r>
        <w:t>Aparna Bhat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3: Ethical Dilemma</w:t>
      </w:r>
    </w:p>
    <w:p>
      <w:r>
        <w:rPr>
          <w:b/>
          <w:color w:val="1B3A5C"/>
        </w:rPr>
        <w:t xml:space="preserve">Situation: </w:t>
      </w:r>
      <w:r>
        <w:t>Pooja Sharma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4: Ethical Dilemma</w:t>
      </w:r>
    </w:p>
    <w:p>
      <w:r>
        <w:rPr>
          <w:b/>
          <w:color w:val="1B3A5C"/>
        </w:rPr>
        <w:t xml:space="preserve">Situation: </w:t>
      </w:r>
      <w:r>
        <w:t>Gautam Mishra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5: Ethical Dilemma</w:t>
      </w:r>
    </w:p>
    <w:p>
      <w:r>
        <w:rPr>
          <w:b/>
          <w:color w:val="1B3A5C"/>
        </w:rPr>
        <w:t xml:space="preserve">Situation: </w:t>
      </w:r>
      <w:r>
        <w:t>Aparna Bhat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6: Ethical Dilemma</w:t>
      </w:r>
    </w:p>
    <w:p>
      <w:r>
        <w:rPr>
          <w:b/>
          <w:color w:val="1B3A5C"/>
        </w:rPr>
        <w:t xml:space="preserve">Situation: </w:t>
      </w:r>
      <w:r>
        <w:t>Kunal Pandey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7: Ethical Dilemma</w:t>
      </w:r>
    </w:p>
    <w:p>
      <w:r>
        <w:rPr>
          <w:b/>
          <w:color w:val="1B3A5C"/>
        </w:rPr>
        <w:t xml:space="preserve">Situation: </w:t>
      </w:r>
      <w:r>
        <w:t>Aparna Bhat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3"/>
      </w:pPr>
      <w:r>
        <w:t>Scenario 8: Ethical Dilemma</w:t>
      </w:r>
    </w:p>
    <w:p>
      <w:r>
        <w:rPr>
          <w:b/>
          <w:color w:val="1B3A5C"/>
        </w:rPr>
        <w:t xml:space="preserve">Situation: </w:t>
      </w:r>
      <w:r>
        <w:t>Gautam Mishra observes a potential policy violation.</w:t>
      </w:r>
    </w:p>
    <w:p>
      <w:r>
        <w:rPr>
          <w:b/>
          <w:color w:val="1B3A5C"/>
        </w:rPr>
        <w:t xml:space="preserve">Relevant Requirements: </w:t>
      </w:r>
      <w:r>
        <w:t>Duty to report</w:t>
      </w:r>
    </w:p>
    <w:p>
      <w:r>
        <w:rPr>
          <w:b/>
          <w:color w:val="1B3A5C"/>
        </w:rPr>
        <w:t xml:space="preserve">Expected Process: </w:t>
      </w:r>
      <w:r>
        <w:t>Use the anonymous Ethics Hotline.</w:t>
      </w:r>
    </w:p>
    <w:p>
      <w:r>
        <w:rPr>
          <w:b/>
          <w:color w:val="1B3A5C"/>
        </w:rPr>
        <w:t xml:space="preserve">Outcome: </w:t>
      </w:r>
      <w:r>
        <w:t>Investigation launched without retaliation.</w:t>
      </w:r>
    </w:p>
    <w:p/>
    <w:p>
      <w:pPr>
        <w:pStyle w:val="Heading1"/>
      </w:pPr>
      <w:r>
        <w:t>33. Appendices &amp; Checklists</w:t>
      </w:r>
    </w:p>
    <w:p>
      <w:pPr>
        <w:pStyle w:val="Heading2"/>
      </w:pPr>
      <w:r>
        <w:t>33.1 Employee Checklist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Requirement</w:t>
            </w:r>
          </w:p>
        </w:tc>
        <w:tc>
          <w:tcPr>
            <w:tcW w:type="dxa" w:w="3120"/>
            <w:shd w:fill="1B3A5C" w:val="clear"/>
          </w:tcPr>
          <w:p>
            <w:pPr>
              <w:jc w:val="center"/>
            </w:pPr>
            <w:r>
              <w:rPr>
                <w:rFonts w:ascii="Calibri" w:hAnsi="Calibri"/>
                <w:b/>
                <w:color w:val="FFFFFF"/>
                <w:sz w:val="20"/>
              </w:rPr>
              <w:t>Details</w:t>
            </w:r>
          </w:p>
        </w:tc>
        <w:tc>
          <w:tcPr>
            <w:tcW w:type="dxa" w:w="3120"/>
            <w:shd w:fill="1B3A5C" w:val="clear"/>
          </w:tcPr>
          <w:p>
            <w:pPr>
              <w:jc w:val="center"/>
            </w:pPr>
            <w:r>
              <w:rPr>
                <w:rFonts w:ascii="Calibri" w:hAnsi="Calibri"/>
                <w:b/>
                <w:color w:val="FFFFFF"/>
                <w:sz w:val="20"/>
              </w:rPr>
              <w:t>Completion</w:t>
            </w:r>
          </w:p>
        </w:tc>
      </w:tr>
      <w:tr>
        <w:tc>
          <w:tcPr>
            <w:tcW w:type="dxa" w:w="3120"/>
          </w:tcPr>
          <w:p>
            <w:r>
              <w:rPr>
                <w:rFonts w:ascii="Calibri" w:hAnsi="Calibri"/>
                <w:color w:val="333333"/>
                <w:sz w:val="18"/>
              </w:rPr>
              <w:t>Policy Review</w:t>
            </w:r>
          </w:p>
        </w:tc>
        <w:tc>
          <w:tcPr>
            <w:tcW w:type="dxa" w:w="3120"/>
          </w:tcPr>
          <w:p>
            <w:r>
              <w:rPr>
                <w:rFonts w:ascii="Calibri" w:hAnsi="Calibri"/>
                <w:color w:val="333333"/>
                <w:sz w:val="18"/>
              </w:rPr>
              <w:t>Read entire document</w:t>
            </w:r>
          </w:p>
        </w:tc>
        <w:tc>
          <w:tcPr>
            <w:tcW w:type="dxa" w:w="3120"/>
          </w:tcPr>
          <w:p>
            <w:r>
              <w:rPr>
                <w:rFonts w:ascii="Calibri" w:hAnsi="Calibri"/>
                <w:color w:val="333333"/>
                <w:sz w:val="18"/>
              </w:rPr>
              <w:t>[  ]</w:t>
            </w:r>
          </w:p>
        </w:tc>
      </w:tr>
      <w:tr>
        <w:tc>
          <w:tcPr>
            <w:tcW w:type="dxa" w:w="3120"/>
            <w:shd w:fill="F2F6FA" w:val="clear"/>
          </w:tcPr>
          <w:p>
            <w:r>
              <w:rPr>
                <w:rFonts w:ascii="Calibri" w:hAnsi="Calibri"/>
                <w:color w:val="333333"/>
                <w:sz w:val="18"/>
              </w:rPr>
              <w:t>Manager Sync</w:t>
            </w:r>
          </w:p>
        </w:tc>
        <w:tc>
          <w:tcPr>
            <w:tcW w:type="dxa" w:w="3120"/>
            <w:shd w:fill="F2F6FA" w:val="clear"/>
          </w:tcPr>
          <w:p>
            <w:r>
              <w:rPr>
                <w:rFonts w:ascii="Calibri" w:hAnsi="Calibri"/>
                <w:color w:val="333333"/>
                <w:sz w:val="18"/>
              </w:rPr>
              <w:t>Discuss impact on daily role</w:t>
            </w:r>
          </w:p>
        </w:tc>
        <w:tc>
          <w:tcPr>
            <w:tcW w:type="dxa" w:w="3120"/>
            <w:shd w:fill="F2F6FA" w:val="clear"/>
          </w:tcPr>
          <w:p>
            <w:r>
              <w:rPr>
                <w:rFonts w:ascii="Calibri" w:hAnsi="Calibri"/>
                <w:color w:val="333333"/>
                <w:sz w:val="18"/>
              </w:rPr>
              <w:t>[  ]</w:t>
            </w:r>
          </w:p>
        </w:tc>
      </w:tr>
      <w:tr>
        <w:tc>
          <w:tcPr>
            <w:tcW w:type="dxa" w:w="3120"/>
          </w:tcPr>
          <w:p>
            <w:r>
              <w:rPr>
                <w:rFonts w:ascii="Calibri" w:hAnsi="Calibri"/>
                <w:color w:val="333333"/>
                <w:sz w:val="18"/>
              </w:rPr>
              <w:t>Acknowledgment</w:t>
            </w:r>
          </w:p>
        </w:tc>
        <w:tc>
          <w:tcPr>
            <w:tcW w:type="dxa" w:w="3120"/>
          </w:tcPr>
          <w:p>
            <w:r>
              <w:rPr>
                <w:rFonts w:ascii="Calibri" w:hAnsi="Calibri"/>
                <w:color w:val="333333"/>
                <w:sz w:val="18"/>
              </w:rPr>
              <w:t>Sign via HRMS</w:t>
            </w:r>
          </w:p>
        </w:tc>
        <w:tc>
          <w:tcPr>
            <w:tcW w:type="dxa" w:w="3120"/>
          </w:tcPr>
          <w:p>
            <w:r>
              <w:rPr>
                <w:rFonts w:ascii="Calibri" w:hAnsi="Calibri"/>
                <w:color w:val="333333"/>
                <w:sz w:val="18"/>
              </w:rPr>
              <w:t>[  ]</w:t>
            </w:r>
          </w:p>
        </w:tc>
      </w:tr>
    </w:tbl>
    <w:p/>
    <w:p>
      <w:pPr>
        <w:pStyle w:val="Heading1"/>
      </w:pPr>
      <w:r>
        <w:t>33. RACI Matrix for Code of Conduct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B3A5C" w:val="clear"/>
          </w:tcPr>
          <w:p>
            <w:pPr>
              <w:jc w:val="center"/>
            </w:pPr>
            <w:r>
              <w:rPr>
                <w:rFonts w:ascii="Calibri" w:hAnsi="Calibri"/>
                <w:b/>
                <w:color w:val="FFFFFF"/>
                <w:sz w:val="20"/>
              </w:rPr>
              <w:t>Activity</w:t>
            </w:r>
          </w:p>
        </w:tc>
        <w:tc>
          <w:tcPr>
            <w:tcW w:type="dxa" w:w="1872"/>
            <w:shd w:fill="1B3A5C" w:val="clear"/>
          </w:tcPr>
          <w:p>
            <w:pPr>
              <w:jc w:val="center"/>
            </w:pPr>
            <w:r>
              <w:rPr>
                <w:rFonts w:ascii="Calibri" w:hAnsi="Calibri"/>
                <w:b/>
                <w:color w:val="FFFFFF"/>
                <w:sz w:val="20"/>
              </w:rPr>
              <w:t>Responsible</w:t>
            </w:r>
          </w:p>
        </w:tc>
        <w:tc>
          <w:tcPr>
            <w:tcW w:type="dxa" w:w="1872"/>
            <w:shd w:fill="1B3A5C" w:val="clear"/>
          </w:tcPr>
          <w:p>
            <w:pPr>
              <w:jc w:val="center"/>
            </w:pPr>
            <w:r>
              <w:rPr>
                <w:rFonts w:ascii="Calibri" w:hAnsi="Calibri"/>
                <w:b/>
                <w:color w:val="FFFFFF"/>
                <w:sz w:val="20"/>
              </w:rPr>
              <w:t>Accountable</w:t>
            </w:r>
          </w:p>
        </w:tc>
        <w:tc>
          <w:tcPr>
            <w:tcW w:type="dxa" w:w="1872"/>
            <w:shd w:fill="1B3A5C" w:val="clear"/>
          </w:tcPr>
          <w:p>
            <w:pPr>
              <w:jc w:val="center"/>
            </w:pPr>
            <w:r>
              <w:rPr>
                <w:rFonts w:ascii="Calibri" w:hAnsi="Calibri"/>
                <w:b/>
                <w:color w:val="FFFFFF"/>
                <w:sz w:val="20"/>
              </w:rPr>
              <w:t>Consulted</w:t>
            </w:r>
          </w:p>
        </w:tc>
        <w:tc>
          <w:tcPr>
            <w:tcW w:type="dxa" w:w="1872"/>
            <w:shd w:fill="1B3A5C" w:val="clear"/>
          </w:tcPr>
          <w:p>
            <w:pPr>
              <w:jc w:val="center"/>
            </w:pPr>
            <w:r>
              <w:rPr>
                <w:rFonts w:ascii="Calibri" w:hAnsi="Calibri"/>
                <w:b/>
                <w:color w:val="FFFFFF"/>
                <w:sz w:val="20"/>
              </w:rPr>
              <w:t>Informed</w:t>
            </w:r>
          </w:p>
        </w:tc>
      </w:tr>
      <w:tr>
        <w:tc>
          <w:tcPr>
            <w:tcW w:type="dxa" w:w="1872"/>
          </w:tcPr>
          <w:p>
            <w:r>
              <w:rPr>
                <w:rFonts w:ascii="Calibri" w:hAnsi="Calibri"/>
                <w:color w:val="333333"/>
                <w:sz w:val="18"/>
              </w:rPr>
              <w:t>Policy Adherence</w:t>
            </w:r>
          </w:p>
        </w:tc>
        <w:tc>
          <w:tcPr>
            <w:tcW w:type="dxa" w:w="1872"/>
          </w:tcPr>
          <w:p>
            <w:r>
              <w:rPr>
                <w:rFonts w:ascii="Calibri" w:hAnsi="Calibri"/>
                <w:color w:val="333333"/>
                <w:sz w:val="18"/>
              </w:rPr>
              <w:t>Employee</w:t>
            </w:r>
          </w:p>
        </w:tc>
        <w:tc>
          <w:tcPr>
            <w:tcW w:type="dxa" w:w="1872"/>
          </w:tcPr>
          <w:p>
            <w:r>
              <w:rPr>
                <w:rFonts w:ascii="Calibri" w:hAnsi="Calibri"/>
                <w:color w:val="333333"/>
                <w:sz w:val="18"/>
              </w:rPr>
              <w:t>Manager</w:t>
            </w:r>
          </w:p>
        </w:tc>
        <w:tc>
          <w:tcPr>
            <w:tcW w:type="dxa" w:w="1872"/>
          </w:tcPr>
          <w:p>
            <w:r>
              <w:rPr>
                <w:rFonts w:ascii="Calibri" w:hAnsi="Calibri"/>
                <w:color w:val="333333"/>
                <w:sz w:val="18"/>
              </w:rPr>
              <w:t>HR</w:t>
            </w:r>
          </w:p>
        </w:tc>
        <w:tc>
          <w:tcPr>
            <w:tcW w:type="dxa" w:w="1872"/>
          </w:tcPr>
          <w:p>
            <w:r>
              <w:rPr>
                <w:rFonts w:ascii="Calibri" w:hAnsi="Calibri"/>
                <w:color w:val="333333"/>
                <w:sz w:val="18"/>
              </w:rPr>
              <w:t>Legal</w:t>
            </w:r>
          </w:p>
        </w:tc>
      </w:tr>
      <w:tr>
        <w:tc>
          <w:tcPr>
            <w:tcW w:type="dxa" w:w="1872"/>
            <w:shd w:fill="F2F6FA" w:val="clear"/>
          </w:tcPr>
          <w:p>
            <w:r>
              <w:rPr>
                <w:rFonts w:ascii="Calibri" w:hAnsi="Calibri"/>
                <w:color w:val="333333"/>
                <w:sz w:val="18"/>
              </w:rPr>
              <w:t>Investigations</w:t>
            </w:r>
          </w:p>
        </w:tc>
        <w:tc>
          <w:tcPr>
            <w:tcW w:type="dxa" w:w="1872"/>
            <w:shd w:fill="F2F6FA" w:val="clear"/>
          </w:tcPr>
          <w:p>
            <w:r>
              <w:rPr>
                <w:rFonts w:ascii="Calibri" w:hAnsi="Calibri"/>
                <w:color w:val="333333"/>
                <w:sz w:val="18"/>
              </w:rPr>
              <w:t>HR</w:t>
            </w:r>
          </w:p>
        </w:tc>
        <w:tc>
          <w:tcPr>
            <w:tcW w:type="dxa" w:w="1872"/>
            <w:shd w:fill="F2F6FA" w:val="clear"/>
          </w:tcPr>
          <w:p>
            <w:r>
              <w:rPr>
                <w:rFonts w:ascii="Calibri" w:hAnsi="Calibri"/>
                <w:color w:val="333333"/>
                <w:sz w:val="18"/>
              </w:rPr>
              <w:t>Chief People Officer</w:t>
            </w:r>
          </w:p>
        </w:tc>
        <w:tc>
          <w:tcPr>
            <w:tcW w:type="dxa" w:w="1872"/>
            <w:shd w:fill="F2F6FA" w:val="clear"/>
          </w:tcPr>
          <w:p>
            <w:r>
              <w:rPr>
                <w:rFonts w:ascii="Calibri" w:hAnsi="Calibri"/>
                <w:color w:val="333333"/>
                <w:sz w:val="18"/>
              </w:rPr>
              <w:t>Legal</w:t>
            </w:r>
          </w:p>
        </w:tc>
        <w:tc>
          <w:tcPr>
            <w:tcW w:type="dxa" w:w="1872"/>
            <w:shd w:fill="F2F6FA" w:val="clear"/>
          </w:tcPr>
          <w:p>
            <w:r>
              <w:rPr>
                <w:rFonts w:ascii="Calibri" w:hAnsi="Calibri"/>
                <w:color w:val="333333"/>
                <w:sz w:val="18"/>
              </w:rPr>
              <w:t>Executive Team</w:t>
            </w:r>
          </w:p>
        </w:tc>
      </w:tr>
      <w:tr>
        <w:tc>
          <w:tcPr>
            <w:tcW w:type="dxa" w:w="1872"/>
          </w:tcPr>
          <w:p>
            <w:r>
              <w:rPr>
                <w:rFonts w:ascii="Calibri" w:hAnsi="Calibri"/>
                <w:color w:val="333333"/>
                <w:sz w:val="18"/>
              </w:rPr>
              <w:t>Training Delivery</w:t>
            </w:r>
          </w:p>
        </w:tc>
        <w:tc>
          <w:tcPr>
            <w:tcW w:type="dxa" w:w="1872"/>
          </w:tcPr>
          <w:p>
            <w:r>
              <w:rPr>
                <w:rFonts w:ascii="Calibri" w:hAnsi="Calibri"/>
                <w:color w:val="333333"/>
                <w:sz w:val="18"/>
              </w:rPr>
              <w:t>L&amp;D Team</w:t>
            </w:r>
          </w:p>
        </w:tc>
        <w:tc>
          <w:tcPr>
            <w:tcW w:type="dxa" w:w="1872"/>
          </w:tcPr>
          <w:p>
            <w:r>
              <w:rPr>
                <w:rFonts w:ascii="Calibri" w:hAnsi="Calibri"/>
                <w:color w:val="333333"/>
                <w:sz w:val="18"/>
              </w:rPr>
              <w:t>HR</w:t>
            </w:r>
          </w:p>
        </w:tc>
        <w:tc>
          <w:tcPr>
            <w:tcW w:type="dxa" w:w="1872"/>
          </w:tcPr>
          <w:p>
            <w:r>
              <w:rPr>
                <w:rFonts w:ascii="Calibri" w:hAnsi="Calibri"/>
                <w:color w:val="333333"/>
                <w:sz w:val="18"/>
              </w:rPr>
              <w:t>Managers</w:t>
            </w:r>
          </w:p>
        </w:tc>
        <w:tc>
          <w:tcPr>
            <w:tcW w:type="dxa" w:w="1872"/>
          </w:tcPr>
          <w:p>
            <w:r>
              <w:rPr>
                <w:rFonts w:ascii="Calibri" w:hAnsi="Calibri"/>
                <w:color w:val="333333"/>
                <w:sz w:val="18"/>
              </w:rPr>
              <w:t>Employees</w:t>
            </w:r>
          </w:p>
        </w:tc>
      </w:tr>
    </w:tbl>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10 Feb 2023</w:t>
            </w:r>
          </w:p>
        </w:tc>
        <w:tc>
          <w:tcPr>
            <w:tcW w:type="dxa" w:w="2160"/>
          </w:tcPr>
          <w:p>
            <w:r>
              <w:rPr>
                <w:rFonts w:ascii="Calibri" w:hAnsi="Calibri"/>
                <w:color w:val="333333"/>
                <w:sz w:val="18"/>
              </w:rPr>
              <w:t>Legal</w:t>
            </w:r>
          </w:p>
        </w:tc>
        <w:tc>
          <w:tcPr>
            <w:tcW w:type="dxa" w:w="4320"/>
          </w:tcPr>
          <w:p>
            <w:r>
              <w:rPr>
                <w:rFonts w:ascii="Calibri" w:hAnsi="Calibri"/>
                <w:color w:val="333333"/>
                <w:sz w:val="18"/>
              </w:rPr>
              <w:t>Base Policy</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Sep 2025</w:t>
            </w:r>
          </w:p>
        </w:tc>
        <w:tc>
          <w:tcPr>
            <w:tcW w:type="dxa" w:w="2160"/>
            <w:shd w:fill="F2F6FA" w:val="clear"/>
          </w:tcPr>
          <w:p>
            <w:r>
              <w:rPr>
                <w:rFonts w:ascii="Calibri" w:hAnsi="Calibri"/>
                <w:color w:val="333333"/>
                <w:sz w:val="18"/>
              </w:rPr>
              <w:t>HR &amp; Legal</w:t>
            </w:r>
          </w:p>
        </w:tc>
        <w:tc>
          <w:tcPr>
            <w:tcW w:type="dxa" w:w="4320"/>
            <w:shd w:fill="F2F6FA" w:val="clear"/>
          </w:tcPr>
          <w:p>
            <w:r>
              <w:rPr>
                <w:rFonts w:ascii="Calibri" w:hAnsi="Calibri"/>
                <w:color w:val="333333"/>
                <w:sz w:val="18"/>
              </w:rPr>
              <w:t>Updated anti-bribery</w:t>
            </w:r>
          </w:p>
        </w:tc>
      </w:tr>
      <w:tr>
        <w:tc>
          <w:tcPr>
            <w:tcW w:type="dxa" w:w="1152"/>
          </w:tcPr>
          <w:p>
            <w:r>
              <w:rPr>
                <w:rFonts w:ascii="Calibri" w:hAnsi="Calibri"/>
                <w:color w:val="333333"/>
                <w:sz w:val="18"/>
              </w:rPr>
              <w:t>2.1</w:t>
            </w:r>
          </w:p>
        </w:tc>
        <w:tc>
          <w:tcPr>
            <w:tcW w:type="dxa" w:w="1872"/>
          </w:tcPr>
          <w:p>
            <w:r>
              <w:rPr>
                <w:rFonts w:ascii="Calibri" w:hAnsi="Calibri"/>
                <w:color w:val="333333"/>
                <w:sz w:val="18"/>
              </w:rPr>
              <w:t>15 Mar 2026</w:t>
            </w:r>
          </w:p>
        </w:tc>
        <w:tc>
          <w:tcPr>
            <w:tcW w:type="dxa" w:w="2160"/>
          </w:tcPr>
          <w:p>
            <w:r>
              <w:rPr>
                <w:rFonts w:ascii="Calibri" w:hAnsi="Calibri"/>
                <w:color w:val="333333"/>
                <w:sz w:val="18"/>
              </w:rPr>
              <w:t>Chief People Officer</w:t>
            </w:r>
          </w:p>
        </w:tc>
        <w:tc>
          <w:tcPr>
            <w:tcW w:type="dxa" w:w="4320"/>
          </w:tcPr>
          <w:p>
            <w:r>
              <w:rPr>
                <w:rFonts w:ascii="Calibri" w:hAnsi="Calibri"/>
                <w:color w:val="333333"/>
                <w:sz w:val="18"/>
              </w:rPr>
              <w:t>Added AI ethics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