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Leave and Time Off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HR-003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2.3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VP Human Resources</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People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April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HR-003</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Leave and Time Off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2.3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VP Human Resources</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People Officer</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April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April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2.2 (01 October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HR-001, HR-004, HR-005, HR-009</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Purpose of Leave Policy</w:t>
      </w:r>
    </w:p>
    <w:p>
      <w:pPr/>
      <w:r>
        <w:t>This section establishes the Vistara Global Systems framework regarding Purpose of Leave Policy. Our organization, spanning 1,087 employees across India (Bengaluru, Hyderabad, Pune, Mumbai, Gurugram, Chennai, Kolkata, New Delhi) and internationally (Singapore, Dubai, London, Austin), relies on clear standards to maintain operational excellence.</w:t>
      </w:r>
    </w:p>
    <w:p>
      <w:pPr/>
      <w:r>
        <w:t>The provisions under Purpose of Leave Policy apply uniformly, with specific regional variations handled through the HR Business Partner. Strict adherence is expected from all personnel.</w:t>
      </w:r>
    </w:p>
    <w:p>
      <w:pPr>
        <w:pStyle w:val="ListBullet"/>
      </w:pPr>
      <w:r>
        <w:t>Primary responsibility for Purpose of Leave Policy rests with the employee and their reporting manager.</w:t>
      </w:r>
    </w:p>
    <w:p>
      <w:pPr>
        <w:pStyle w:val="ListBullet"/>
      </w:pPr>
      <w:r>
        <w:t>Vistara Global Systems integrates Purpose of Leave Policy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1.1 Implementation Procedures for Purpose of Leave Policy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 Implementation Procedures for Purpose of Leave Policy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 Implementation Procedures for Purpose of Leave Policy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 Eligibility Criteria</w:t>
      </w:r>
    </w:p>
    <w:p>
      <w:pPr/>
      <w:r>
        <w:t>This section establishes the Vistara Global Systems framework regarding Eligibility Criteria. Our organization, spanning 1,087 employees across India (Bengaluru, Hyderabad, Pune, Mumbai, Gurugram, Chennai, Kolkata, New Delhi) and internationally (Singapore, Dubai, London, Austin), relies on clear standards to maintain operational excellence.</w:t>
      </w:r>
    </w:p>
    <w:p>
      <w:pPr/>
      <w:r>
        <w:t>The provisions under Eligibility Criteria apply uniformly, with specific regional variations handled through the HR Business Partner. Strict adherence is expected from all personnel.</w:t>
      </w:r>
    </w:p>
    <w:p>
      <w:pPr>
        <w:pStyle w:val="ListBullet"/>
      </w:pPr>
      <w:r>
        <w:t>Primary responsibility for Eligibility Criteria rests with the employee and their reporting manager.</w:t>
      </w:r>
    </w:p>
    <w:p>
      <w:pPr>
        <w:pStyle w:val="ListBullet"/>
      </w:pPr>
      <w:r>
        <w:t>Vistara Global Systems integrates Eligibility Criteria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2.1 Implementation Procedures for Eligibility Criteria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 Implementation Procedures for Eligibility Criteria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 Implementation Procedures for Eligibility Criteria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 Annual Leave (24 days for India, Regional variations)</w:t>
      </w:r>
    </w:p>
    <w:p>
      <w:pPr/>
      <w:r>
        <w:t>This section establishes the Vistara Global Systems framework regarding Annual Leave (24 days for India, Regional variations).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Annual Leave (24 days for India, Regional variations) apply uniformly, with specific regional variations handled through the HR Business Partner. Strict adherence is expected from all personnel.</w:t>
      </w:r>
    </w:p>
    <w:p>
      <w:pPr>
        <w:pStyle w:val="ListBullet"/>
      </w:pPr>
      <w:r>
        <w:t>Primary responsibility for Annual Leave (24 days for India, Regional variations) rests with the employee and their reporting manager.</w:t>
      </w:r>
    </w:p>
    <w:p>
      <w:pPr>
        <w:pStyle w:val="ListBullet"/>
      </w:pPr>
      <w:r>
        <w:t>Vistara Global Systems integrates Annual Leave (24 days for India, Regional variations)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3.1 Implementation Procedures for Annual Leave (24 days for India, Regional variations)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3.2 Implementation Procedures for Annual Leave (24 days for India, Regional variations)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3.3 Implementation Procedures for Annual Leave (24 days for India, Regional variations)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4. Sick Leave (12 days)</w:t>
      </w:r>
    </w:p>
    <w:p>
      <w:pPr/>
      <w:r>
        <w:t>This section establishes the Vistara Global Systems framework regarding Sick Leave (12 days). Our organization, spanning 1,087 employees across India (Bengaluru, Hyderabad, Pune, Mumbai, Gurugram, Chennai, Kolkata, New Delhi) and internationally (Singapore, Dubai, London, Austin), relies on clear standards to maintain operational excellence.</w:t>
      </w:r>
    </w:p>
    <w:p>
      <w:pPr/>
      <w:r>
        <w:t>The provisions under Sick Leave (12 days) apply uniformly, with specific regional variations handled through the HR Business Partner. Strict adherence is expected from all personnel.</w:t>
      </w:r>
    </w:p>
    <w:p>
      <w:pPr>
        <w:pStyle w:val="ListBullet"/>
      </w:pPr>
      <w:r>
        <w:t>Primary responsibility for Sick Leave (12 days) rests with the employee and their reporting manager.</w:t>
      </w:r>
    </w:p>
    <w:p>
      <w:pPr>
        <w:pStyle w:val="ListBullet"/>
      </w:pPr>
      <w:r>
        <w:t>Vistara Global Systems integrates Sick Leave (12 days)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 xml:space="preserve">Responsibility regarding Sick Leave (12 </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4.1 Implementation Procedures for Sick Leave (12 days)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4.2 Implementation Procedures for Sick Leave (12 days)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4.3 Implementation Procedures for Sick Leave (12 days)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5. Casual Leave (6 days)</w:t>
      </w:r>
    </w:p>
    <w:p>
      <w:pPr/>
      <w:r>
        <w:t>This section establishes the Vistara Global Systems framework regarding Casual Leave (6 days). Our organization, spanning 1,087 employees across India (Bengaluru, Hyderabad, Pune, Mumbai, Gurugram, Chennai, Kolkata, New Delhi) and internationally (Singapore, Dubai, London, Austin), relies on clear standards to maintain operational excellence.</w:t>
      </w:r>
    </w:p>
    <w:p>
      <w:pPr/>
      <w:r>
        <w:t>The provisions under Casual Leave (6 days) apply uniformly, with specific regional variations handled through the HR Business Partner. Strict adherence is expected from all personnel.</w:t>
      </w:r>
    </w:p>
    <w:p>
      <w:pPr>
        <w:pStyle w:val="ListBullet"/>
      </w:pPr>
      <w:r>
        <w:t>Primary responsibility for Casual Leave (6 days) rests with the employee and their reporting manager.</w:t>
      </w:r>
    </w:p>
    <w:p>
      <w:pPr>
        <w:pStyle w:val="ListBullet"/>
      </w:pPr>
      <w:r>
        <w:t>Vistara Global Systems integrates Casual Leave (6 days)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5.1 Implementation Procedures for Casual Leave (6 days)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5.2 Implementation Procedures for Casual Leave (6 days)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5.3 Implementation Procedures for Casual Leave (6 days)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6. Parental Leave - Maternity (26 weeks)</w:t>
      </w:r>
    </w:p>
    <w:p>
      <w:pPr/>
      <w:r>
        <w:t>This section establishes the Vistara Global Systems framework regarding Parental Leave - Maternity (26 weeks). Our organization, spanning 1,087 employees across India (Bengaluru, Hyderabad, Pune, Mumbai, Gurugram, Chennai, Kolkata, New Delhi) and internationally (Singapore, Dubai, London, Austin), relies on clear standards to maintain operational excellence.</w:t>
      </w:r>
    </w:p>
    <w:p>
      <w:pPr/>
      <w:r>
        <w:t>The provisions under Parental Leave - Maternity (26 weeks) apply uniformly, with specific regional variations handled through the HR Business Partner. Strict adherence is expected from all personnel.</w:t>
      </w:r>
    </w:p>
    <w:p>
      <w:pPr>
        <w:pStyle w:val="ListBullet"/>
      </w:pPr>
      <w:r>
        <w:t>Primary responsibility for Parental Leave - Maternity (26 weeks) rests with the employee and their reporting manager.</w:t>
      </w:r>
    </w:p>
    <w:p>
      <w:pPr>
        <w:pStyle w:val="ListBullet"/>
      </w:pPr>
      <w:r>
        <w:t>Vistara Global Systems integrates Parental Leave - Maternity (26 weeks)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6.1 Implementation Procedures for Parental Leave - Maternity (26 weeks)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6.2 Implementation Procedures for Parental Leave - Maternity (26 weeks)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6.3 Implementation Procedures for Parental Leave - Maternity (26 weeks)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7. Parental Leave - Paternity (10 days)</w:t>
      </w:r>
    </w:p>
    <w:p>
      <w:pPr/>
      <w:r>
        <w:t>This section establishes the Vistara Global Systems framework regarding Parental Leave - Paternity (10 days). Our organization, spanning 1,087 employees across India (Bengaluru, Hyderabad, Pune, Mumbai, Gurugram, Chennai, Kolkata, New Delhi) and internationally (Singapore, Dubai, London, Austin), relies on clear standards to maintain operational excellence.</w:t>
      </w:r>
    </w:p>
    <w:p>
      <w:pPr/>
      <w:r>
        <w:t>The provisions under Parental Leave - Paternity (10 days) apply uniformly, with specific regional variations handled through the HR Business Partner. Strict adherence is expected from all personnel.</w:t>
      </w:r>
    </w:p>
    <w:p>
      <w:pPr>
        <w:pStyle w:val="ListBullet"/>
      </w:pPr>
      <w:r>
        <w:t>Primary responsibility for Parental Leave - Paternity (10 days) rests with the employee and their reporting manager.</w:t>
      </w:r>
    </w:p>
    <w:p>
      <w:pPr>
        <w:pStyle w:val="ListBullet"/>
      </w:pPr>
      <w:r>
        <w:t>Vistara Global Systems integrates Parental Leave - Paternity (10 days)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7.1 Implementation Procedures for Parental Leave - Paternity (10 days)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7.2 Implementation Procedures for Parental Leave - Paternity (10 days)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7.3 Implementation Procedures for Parental Leave - Paternity (10 days)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8. Bereavement Leave</w:t>
      </w:r>
    </w:p>
    <w:p>
      <w:pPr/>
      <w:r>
        <w:t>This section establishes the Vistara Global Systems framework regarding Bereavement Leave. Our organization, spanning 1,087 employees across India (Bengaluru, Hyderabad, Pune, Mumbai, Gurugram, Chennai, Kolkata, New Delhi) and internationally (Singapore, Dubai, London, Austin), relies on clear standards to maintain operational excellence.</w:t>
      </w:r>
    </w:p>
    <w:p>
      <w:pPr/>
      <w:r>
        <w:t>The provisions under Bereavement Leave apply uniformly, with specific regional variations handled through the HR Business Partner. Strict adherence is expected from all personnel.</w:t>
      </w:r>
    </w:p>
    <w:p>
      <w:pPr>
        <w:pStyle w:val="ListBullet"/>
      </w:pPr>
      <w:r>
        <w:t>Primary responsibility for Bereavement Leave rests with the employee and their reporting manager.</w:t>
      </w:r>
    </w:p>
    <w:p>
      <w:pPr>
        <w:pStyle w:val="ListBullet"/>
      </w:pPr>
      <w:r>
        <w:t>Vistara Global Systems integrates Bereavement Leave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Bereavement Lea</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8.1 Implementation Procedures for Bereavement Leave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8.2 Implementation Procedures for Bereavement Leave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8.3 Implementation Procedures for Bereavement Leave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9. Marriage Leave</w:t>
      </w:r>
    </w:p>
    <w:p>
      <w:pPr/>
      <w:r>
        <w:t>This section establishes the Vistara Global Systems framework regarding Marriage Leave. Our organization, spanning 1,087 employees across India (Bengaluru, Hyderabad, Pune, Mumbai, Gurugram, Chennai, Kolkata, New Delhi) and internationally (Singapore, Dubai, London, Austin), relies on clear standards to maintain operational excellence.</w:t>
      </w:r>
    </w:p>
    <w:p>
      <w:pPr/>
      <w:r>
        <w:t>The provisions under Marriage Leave apply uniformly, with specific regional variations handled through the HR Business Partner. Strict adherence is expected from all personnel.</w:t>
      </w:r>
    </w:p>
    <w:p>
      <w:pPr>
        <w:pStyle w:val="ListBullet"/>
      </w:pPr>
      <w:r>
        <w:t>Primary responsibility for Marriage Leave rests with the employee and their reporting manager.</w:t>
      </w:r>
    </w:p>
    <w:p>
      <w:pPr>
        <w:pStyle w:val="ListBullet"/>
      </w:pPr>
      <w:r>
        <w:t>Vistara Global Systems integrates Marriage Leave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9.1 Implementation Procedures for Marriage Leave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9.2 Implementation Procedures for Marriage Leave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9.3 Implementation Procedures for Marriage Leave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10. Adoption Leave</w:t>
      </w:r>
    </w:p>
    <w:p>
      <w:pPr/>
      <w:r>
        <w:t>This section establishes the Vistara Global Systems framework regarding Adoption Leave. Our organization, spanning 1,087 employees across India (Bengaluru, Hyderabad, Pune, Mumbai, Gurugram, Chennai, Kolkata, New Delhi) and internationally (Singapore, Dubai, London, Austin), relies on clear standards to maintain operational excellence.</w:t>
      </w:r>
    </w:p>
    <w:p>
      <w:pPr/>
      <w:r>
        <w:t>The provisions under Adoption Leave apply uniformly, with specific regional variations handled through the HR Business Partner. Strict adherence is expected from all personnel.</w:t>
      </w:r>
    </w:p>
    <w:p>
      <w:pPr>
        <w:pStyle w:val="ListBullet"/>
      </w:pPr>
      <w:r>
        <w:t>Primary responsibility for Adoption Leave rests with the employee and their reporting manager.</w:t>
      </w:r>
    </w:p>
    <w:p>
      <w:pPr>
        <w:pStyle w:val="ListBullet"/>
      </w:pPr>
      <w:r>
        <w:t>Vistara Global Systems integrates Adoption Leave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10.1 Implementation Procedures for Adoption Leave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10.2 Implementation Procedures for Adoption Leave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10.3 Implementation Procedures for Adoption Leave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11. Sabbatical Leave</w:t>
      </w:r>
    </w:p>
    <w:p>
      <w:pPr/>
      <w:r>
        <w:t>This section establishes the Vistara Global Systems framework regarding Sabbatical Leave. Our organization, spanning 1,087 employees across India (Bengaluru, Hyderabad, Pune, Mumbai, Gurugram, Chennai, Kolkata, New Delhi) and internationally (Singapore, Dubai, London, Austin), relies on clear standards to maintain operational excellence.</w:t>
      </w:r>
    </w:p>
    <w:p>
      <w:pPr/>
      <w:r>
        <w:t>The provisions under Sabbatical Leave apply uniformly, with specific regional variations handled through the HR Business Partner. Strict adherence is expected from all personnel.</w:t>
      </w:r>
    </w:p>
    <w:p>
      <w:pPr>
        <w:pStyle w:val="ListBullet"/>
      </w:pPr>
      <w:r>
        <w:t>Primary responsibility for Sabbatical Leave rests with the employee and their reporting manager.</w:t>
      </w:r>
    </w:p>
    <w:p>
      <w:pPr>
        <w:pStyle w:val="ListBullet"/>
      </w:pPr>
      <w:r>
        <w:t>Vistara Global Systems integrates Sabbatical Leave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11.1 Implementation Procedures for Sabbatical Leave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11.2 Implementation Procedures for Sabbatical Leave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11.3 Implementation Procedures for Sabbatical Leave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12. Public Holidays (India list + regional)</w:t>
      </w:r>
    </w:p>
    <w:p>
      <w:pPr/>
      <w:r>
        <w:t>This section establishes the Vistara Global Systems framework regarding Public Holidays (India list + regional). Our organization, spanning 1,087 employees across India (Bengaluru, Hyderabad, Pune, Mumbai, Gurugram, Chennai, Kolkata, New Delhi) and internationally (Singapore, Dubai, London, Austin), relies on clear standards to maintain operational excellence.</w:t>
      </w:r>
    </w:p>
    <w:p>
      <w:pPr/>
      <w:r>
        <w:t>The provisions under Public Holidays (India list + regional) apply uniformly, with specific regional variations handled through the HR Business Partner. Strict adherence is expected from all personnel.</w:t>
      </w:r>
    </w:p>
    <w:p>
      <w:pPr>
        <w:pStyle w:val="ListBullet"/>
      </w:pPr>
      <w:r>
        <w:t>Primary responsibility for Public Holidays (India list + regional) rests with the employee and their reporting manager.</w:t>
      </w:r>
    </w:p>
    <w:p>
      <w:pPr>
        <w:pStyle w:val="ListBullet"/>
      </w:pPr>
      <w:r>
        <w:t>Vistara Global Systems integrates Public Holidays (India list + regional)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Public Holidays</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12.1 Implementation Procedures for Public Holidays (India list + regional)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12.2 Implementation Procedures for Public Holidays (India list + regional)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12.3 Implementation Procedures for Public Holidays (India list + regional)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13. Carry-Forward Rules (Max 5 days annual leave)</w:t>
      </w:r>
    </w:p>
    <w:p>
      <w:pPr/>
      <w:r>
        <w:t>This section establishes the Vistara Global Systems framework regarding Carry-Forward Rules (Max 5 days annual leave). Our organization, spanning 1,087 employees across India (Bengaluru, Hyderabad, Pune, Mumbai, Gurugram, Chennai, Kolkata, New Delhi) and internationally (Singapore, Dubai, London, Austin), relies on clear standards to maintain operational excellence.</w:t>
      </w:r>
    </w:p>
    <w:p>
      <w:pPr/>
      <w:r>
        <w:t>The provisions under Carry-Forward Rules (Max 5 days annual leave) apply uniformly, with specific regional variations handled through the HR Business Partner. Strict adherence is expected from all personnel.</w:t>
      </w:r>
    </w:p>
    <w:p>
      <w:pPr>
        <w:pStyle w:val="ListBullet"/>
      </w:pPr>
      <w:r>
        <w:t>Primary responsibility for Carry-Forward Rules (Max 5 days annual leave) rests with the employee and their reporting manager.</w:t>
      </w:r>
    </w:p>
    <w:p>
      <w:pPr>
        <w:pStyle w:val="ListBullet"/>
      </w:pPr>
      <w:r>
        <w:t>Vistara Global Systems integrates Carry-Forward Rules (Max 5 days annual leave)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13.1 Implementation Procedures for Carry-Forward Rules (Max 5 days annual leave)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13.2 Implementation Procedures for Carry-Forward Rules (Max 5 days annual leave)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13.3 Implementation Procedures for Carry-Forward Rules (Max 5 days annual leave)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14. Approval Procedure and Timelines</w:t>
      </w:r>
    </w:p>
    <w:p>
      <w:pPr/>
      <w:r>
        <w:t>This section establishes the Vistara Global Systems framework regarding Approval Procedure and Timelines. Our organization, spanning 1,087 employees across India (Bengaluru, Hyderabad, Pune, Mumbai, Gurugram, Chennai, Kolkata, New Delhi) and internationally (Singapore, Dubai, London, Austin), relies on clear standards to maintain operational excellence.</w:t>
      </w:r>
    </w:p>
    <w:p>
      <w:pPr/>
      <w:r>
        <w:t>The provisions under Approval Procedure and Timelines apply uniformly, with specific regional variations handled through the HR Business Partner. Strict adherence is expected from all personnel.</w:t>
      </w:r>
    </w:p>
    <w:p>
      <w:pPr>
        <w:pStyle w:val="ListBullet"/>
      </w:pPr>
      <w:r>
        <w:t>Primary responsibility for Approval Procedure and Timelines rests with the employee and their reporting manager.</w:t>
      </w:r>
    </w:p>
    <w:p>
      <w:pPr>
        <w:pStyle w:val="ListBullet"/>
      </w:pPr>
      <w:r>
        <w:t>Vistara Global Systems integrates Approval Procedure and Timelines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14.1 Implementation Procedures for Approval Procedure and Timelines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14.2 Implementation Procedures for Approval Procedure and Timelines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14.3 Implementation Procedures for Approval Procedure and Timelines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15. Emergency Leave Protocols</w:t>
      </w:r>
    </w:p>
    <w:p>
      <w:pPr/>
      <w:r>
        <w:t>This section establishes the Vistara Global Systems framework regarding Emergency Leave Protocols. Our organization, spanning 1,087 employees across India (Bengaluru, Hyderabad, Pune, Mumbai, Gurugram, Chennai, Kolkata, New Delhi) and internationally (Singapore, Dubai, London, Austin), relies on clear standards to maintain operational excellence.</w:t>
      </w:r>
    </w:p>
    <w:p>
      <w:pPr/>
      <w:r>
        <w:t>The provisions under Emergency Leave Protocols apply uniformly, with specific regional variations handled through the HR Business Partner. Strict adherence is expected from all personnel.</w:t>
      </w:r>
    </w:p>
    <w:p>
      <w:pPr>
        <w:pStyle w:val="ListBullet"/>
      </w:pPr>
      <w:r>
        <w:t>Primary responsibility for Emergency Leave Protocols rests with the employee and their reporting manager.</w:t>
      </w:r>
    </w:p>
    <w:p>
      <w:pPr>
        <w:pStyle w:val="ListBullet"/>
      </w:pPr>
      <w:r>
        <w:t>Vistara Global Systems integrates Emergency Leave Protocols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15.1 Implementation Procedures for Emergency Leave Protocols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15.2 Implementation Procedures for Emergency Leave Protocols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15.3 Implementation Procedures for Emergency Leave Protocols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16. Manager Responsibilities for Leave Management</w:t>
      </w:r>
    </w:p>
    <w:p>
      <w:pPr/>
      <w:r>
        <w:t>This section establishes the Vistara Global Systems framework regarding Manager Responsibilities for Leave Management. Our organization, spanning 1,087 employees across India (Bengaluru, Hyderabad, Pune, Mumbai, Gurugram, Chennai, Kolkata, New Delhi) and internationally (Singapore, Dubai, London, Austin), relies on clear standards to maintain operational excellence.</w:t>
      </w:r>
    </w:p>
    <w:p>
      <w:pPr/>
      <w:r>
        <w:t>The provisions under Manager Responsibilities for Leave Management apply uniformly, with specific regional variations handled through the HR Business Partner. Strict adherence is expected from all personnel.</w:t>
      </w:r>
    </w:p>
    <w:p>
      <w:pPr>
        <w:pStyle w:val="ListBullet"/>
      </w:pPr>
      <w:r>
        <w:t>Primary responsibility for Manager Responsibilities for Leave Management rests with the employee and their reporting manager.</w:t>
      </w:r>
    </w:p>
    <w:p>
      <w:pPr>
        <w:pStyle w:val="ListBullet"/>
      </w:pPr>
      <w:r>
        <w:t>Vistara Global Systems integrates Manager Responsibilities for Leave Management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Manager Respons</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16.1 Implementation Procedures for Manager Responsibilities for Leave Management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16.2 Implementation Procedures for Manager Responsibilities for Leave Management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16.3 Implementation Procedures for Manager Responsibilities for Leave Management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17. Absence Documentation and Medical Certificates</w:t>
      </w:r>
    </w:p>
    <w:p>
      <w:pPr/>
      <w:r>
        <w:t>This section establishes the Vistara Global Systems framework regarding Absence Documentation and Medical Certificates. Our organization, spanning 1,087 employees across India (Bengaluru, Hyderabad, Pune, Mumbai, Gurugram, Chennai, Kolkata, New Delhi) and internationally (Singapore, Dubai, London, Austin), relies on clear standards to maintain operational excellence.</w:t>
      </w:r>
    </w:p>
    <w:p>
      <w:pPr/>
      <w:r>
        <w:t>The provisions under Absence Documentation and Medical Certificates apply uniformly, with specific regional variations handled through the HR Business Partner. Strict adherence is expected from all personnel.</w:t>
      </w:r>
    </w:p>
    <w:p>
      <w:pPr>
        <w:pStyle w:val="ListBullet"/>
      </w:pPr>
      <w:r>
        <w:t>Primary responsibility for Absence Documentation and Medical Certificates rests with the employee and their reporting manager.</w:t>
      </w:r>
    </w:p>
    <w:p>
      <w:pPr>
        <w:pStyle w:val="ListBullet"/>
      </w:pPr>
      <w:r>
        <w:t>Vistara Global Systems integrates Absence Documentation and Medical Certificates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17.1 Implementation Procedures for Absence Documentation and Medical Certificates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17.2 Implementation Procedures for Absence Documentation and Medical Certificates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17.3 Implementation Procedures for Absence Documentation and Medical Certificates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18. Leave Encashment Policy</w:t>
      </w:r>
    </w:p>
    <w:p>
      <w:pPr/>
      <w:r>
        <w:t>This section establishes the Vistara Global Systems framework regarding Leave Encashment Policy. Our organization, spanning 1,087 employees across India (Bengaluru, Hyderabad, Pune, Mumbai, Gurugram, Chennai, Kolkata, New Delhi) and internationally (Singapore, Dubai, London, Austin), relies on clear standards to maintain operational excellence.</w:t>
      </w:r>
    </w:p>
    <w:p>
      <w:pPr/>
      <w:r>
        <w:t>The provisions under Leave Encashment Policy apply uniformly, with specific regional variations handled through the HR Business Partner. Strict adherence is expected from all personnel.</w:t>
      </w:r>
    </w:p>
    <w:p>
      <w:pPr>
        <w:pStyle w:val="ListBullet"/>
      </w:pPr>
      <w:r>
        <w:t>Primary responsibility for Leave Encashment Policy rests with the employee and their reporting manager.</w:t>
      </w:r>
    </w:p>
    <w:p>
      <w:pPr>
        <w:pStyle w:val="ListBullet"/>
      </w:pPr>
      <w:r>
        <w:t>Vistara Global Systems integrates Leave Encashment Policy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18.1 Implementation Procedures for Leave Encashment Policy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18.2 Implementation Procedures for Leave Encashment Policy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18.3 Implementation Procedures for Leave Encashment Policy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19. International Location Variations (US, UK, SG, UAE)</w:t>
      </w:r>
    </w:p>
    <w:p>
      <w:pPr/>
      <w:r>
        <w:t>This section establishes the Vistara Global Systems framework regarding International Location Variations (US, UK, SG, UAE). Our organization, spanning 1,087 employees across India (Bengaluru, Hyderabad, Pune, Mumbai, Gurugram, Chennai, Kolkata, New Delhi) and internationally (Singapore, Dubai, London, Austin), relies on clear standards to maintain operational excellence.</w:t>
      </w:r>
    </w:p>
    <w:p>
      <w:pPr/>
      <w:r>
        <w:t>The provisions under International Location Variations (US, UK, SG, UAE) apply uniformly, with specific regional variations handled through the HR Business Partner. Strict adherence is expected from all personnel.</w:t>
      </w:r>
    </w:p>
    <w:p>
      <w:pPr>
        <w:pStyle w:val="ListBullet"/>
      </w:pPr>
      <w:r>
        <w:t>Primary responsibility for International Location Variations (US, UK, SG, UAE) rests with the employee and their reporting manager.</w:t>
      </w:r>
    </w:p>
    <w:p>
      <w:pPr>
        <w:pStyle w:val="ListBullet"/>
      </w:pPr>
      <w:r>
        <w:t>Vistara Global Systems integrates International Location Variations (US, UK, SG, UAE)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19.1 Implementation Procedures for International Location Variations (US, UK, SG, UAE)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19.2 Implementation Procedures for International Location Variations (US, UK, SG, UAE)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19.3 Implementation Procedures for International Location Variations (US, UK, SG, UAE)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20. Leave during Probation Period</w:t>
      </w:r>
    </w:p>
    <w:p>
      <w:pPr/>
      <w:r>
        <w:t>This section establishes the Vistara Global Systems framework regarding Leave during Probation Period. Our organization, spanning 1,087 employees across India (Bengaluru, Hyderabad, Pune, Mumbai, Gurugram, Chennai, Kolkata, New Delhi) and internationally (Singapore, Dubai, London, Austin), relies on clear standards to maintain operational excellence.</w:t>
      </w:r>
    </w:p>
    <w:p>
      <w:pPr/>
      <w:r>
        <w:t>The provisions under Leave during Probation Period apply uniformly, with specific regional variations handled through the HR Business Partner. Strict adherence is expected from all personnel.</w:t>
      </w:r>
    </w:p>
    <w:p>
      <w:pPr>
        <w:pStyle w:val="ListBullet"/>
      </w:pPr>
      <w:r>
        <w:t>Primary responsibility for Leave during Probation Period rests with the employee and their reporting manager.</w:t>
      </w:r>
    </w:p>
    <w:p>
      <w:pPr>
        <w:pStyle w:val="ListBullet"/>
      </w:pPr>
      <w:r>
        <w:t>Vistara Global Systems integrates Leave during Probation Period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Responsibility regarding Leave during Pr</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20.1 Implementation Procedures for Leave during Probation Period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20.2 Implementation Procedures for Leave during Probation Period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20.3 Implementation Procedures for Leave during Probation Period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21. Leave and Notice Period</w:t>
      </w:r>
    </w:p>
    <w:p>
      <w:pPr/>
      <w:r>
        <w:t>This section establishes the Vistara Global Systems framework regarding Leave and Notice Period. Our organization, spanning 1,087 employees across India (Bengaluru, Hyderabad, Pune, Mumbai, Gurugram, Chennai, Kolkata, New Delhi) and internationally (Singapore, Dubai, London, Austin), relies on clear standards to maintain operational excellence.</w:t>
      </w:r>
    </w:p>
    <w:p>
      <w:pPr/>
      <w:r>
        <w:t>The provisions under Leave and Notice Period apply uniformly, with specific regional variations handled through the HR Business Partner. Strict adherence is expected from all personnel.</w:t>
      </w:r>
    </w:p>
    <w:p>
      <w:pPr>
        <w:pStyle w:val="ListBullet"/>
      </w:pPr>
      <w:r>
        <w:t>Primary responsibility for Leave and Notice Period rests with the employee and their reporting manager.</w:t>
      </w:r>
    </w:p>
    <w:p>
      <w:pPr>
        <w:pStyle w:val="ListBullet"/>
      </w:pPr>
      <w:r>
        <w:t>Vistara Global Systems integrates Leave and Notice Period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21.1 Implementation Procedures for Leave and Notice Period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21.2 Implementation Procedures for Leave and Notice Period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21.3 Implementation Procedures for Leave and Notice Period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22. Compensatory Off (Comp-Off)</w:t>
      </w:r>
    </w:p>
    <w:p>
      <w:pPr/>
      <w:r>
        <w:t>This section establishes the Vistara Global Systems framework regarding Compensatory Off (Comp-Off). Our organization, spanning 1,087 employees across India (Bengaluru, Hyderabad, Pune, Mumbai, Gurugram, Chennai, Kolkata, New Delhi) and internationally (Singapore, Dubai, London, Austin), relies on clear standards to maintain operational excellence.</w:t>
      </w:r>
    </w:p>
    <w:p>
      <w:pPr/>
      <w:r>
        <w:t>The provisions under Compensatory Off (Comp-Off) apply uniformly, with specific regional variations handled through the HR Business Partner. Strict adherence is expected from all personnel.</w:t>
      </w:r>
    </w:p>
    <w:p>
      <w:pPr>
        <w:pStyle w:val="ListBullet"/>
      </w:pPr>
      <w:r>
        <w:t>Primary responsibility for Compensatory Off (Comp-Off) rests with the employee and their reporting manager.</w:t>
      </w:r>
    </w:p>
    <w:p>
      <w:pPr>
        <w:pStyle w:val="ListBullet"/>
      </w:pPr>
      <w:r>
        <w:t>Vistara Global Systems integrates Compensatory Off (Comp-Off)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22.1 Implementation Procedures for Compensatory Off (Comp-Off)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22.2 Implementation Procedures for Compensatory Off (Comp-Off)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22.3 Implementation Procedures for Compensatory Off (Comp-Off)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23. Leave Cancellation and Modifications</w:t>
      </w:r>
    </w:p>
    <w:p>
      <w:pPr/>
      <w:r>
        <w:t>This section establishes the Vistara Global Systems framework regarding Leave Cancellation and Modifications.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Leave Cancellation and Modifications apply uniformly, with specific regional variations handled through the HR Business Partner. Strict adherence is expected from all personnel.</w:t>
      </w:r>
    </w:p>
    <w:p>
      <w:pPr>
        <w:pStyle w:val="ListBullet"/>
      </w:pPr>
      <w:r>
        <w:t>Primary responsibility for Leave Cancellation and Modifications rests with the employee and their reporting manager.</w:t>
      </w:r>
    </w:p>
    <w:p>
      <w:pPr>
        <w:pStyle w:val="ListBullet"/>
      </w:pPr>
      <w:r>
        <w:t>Vistara Global Systems integrates Leave Cancellation and Modifications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23.1 Implementation Procedures for Leave Cancellation and Modifications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23.2 Implementation Procedures for Leave Cancellation and Modifications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23.3 Implementation Procedures for Leave Cancellation and Modifications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24. Unpaid Leave / Leave Without Pay (LWP)</w:t>
      </w:r>
    </w:p>
    <w:p>
      <w:pPr/>
      <w:r>
        <w:t>This section establishes the Vistara Global Systems framework regarding Unpaid Leave / Leave Without Pay (LWP). Our organization, spanning 1,087 employees across India (Bengaluru, Hyderabad, Pune, Mumbai, Gurugram, Chennai, Kolkata, New Delhi) and internationally (Singapore, Dubai, London, Austin), relies on clear standards to maintain operational excellence.</w:t>
      </w:r>
    </w:p>
    <w:p>
      <w:pPr/>
      <w:r>
        <w:t>The provisions under Unpaid Leave / Leave Without Pay (LWP) apply uniformly, with specific regional variations handled through the HR Business Partner. Strict adherence is expected from all personnel.</w:t>
      </w:r>
    </w:p>
    <w:p>
      <w:pPr>
        <w:pStyle w:val="ListBullet"/>
      </w:pPr>
      <w:r>
        <w:t>Primary responsibility for Unpaid Leave / Leave Without Pay (LWP) rests with the employee and their reporting manager.</w:t>
      </w:r>
    </w:p>
    <w:p>
      <w:pPr>
        <w:pStyle w:val="ListBullet"/>
      </w:pPr>
      <w:r>
        <w:t>Vistara Global Systems integrates Unpaid Leave / Leave Without Pay (LWP)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 xml:space="preserve">Responsibility regarding Unpaid Leave / </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24.1 Implementation Procedures for Unpaid Leave / Leave Without Pay (LWP)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24.2 Implementation Procedures for Unpaid Leave / Leave Without Pay (LWP)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24.3 Implementation Procedures for Unpaid Leave / Leave Without Pay (LWP)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25. Impact of Leave on Appraisals</w:t>
      </w:r>
    </w:p>
    <w:p>
      <w:pPr/>
      <w:r>
        <w:t>This section establishes the Vistara Global Systems framework regarding Impact of Leave on Appraisals. Our organization, spanning 1,087 employees across India (Bengaluru, Hyderabad, Pune, Mumbai, Gurugram, Chennai, Kolkata, New Delhi) and internationally (Singapore, Dubai, London, Austin), relies on clear standards to maintain operational excellence.</w:t>
      </w:r>
    </w:p>
    <w:p>
      <w:pPr/>
      <w:r>
        <w:t>The provisions under Impact of Leave on Appraisals apply uniformly, with specific regional variations handled through the HR Business Partner. Strict adherence is expected from all personnel.</w:t>
      </w:r>
    </w:p>
    <w:p>
      <w:pPr>
        <w:pStyle w:val="ListBullet"/>
      </w:pPr>
      <w:r>
        <w:t>Primary responsibility for Impact of Leave on Appraisals rests with the employee and their reporting manager.</w:t>
      </w:r>
    </w:p>
    <w:p>
      <w:pPr>
        <w:pStyle w:val="ListBullet"/>
      </w:pPr>
      <w:r>
        <w:t>Vistara Global Systems integrates Impact of Leave on Appraisals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25.1 Implementation Procedures for Impact of Leave on Appraisals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25.2 Implementation Procedures for Impact of Leave on Appraisals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25.3 Implementation Procedures for Impact of Leave on Appraisals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26. Misuse of Leave Policy</w:t>
      </w:r>
    </w:p>
    <w:p>
      <w:pPr/>
      <w:r>
        <w:t>This section establishes the Vistara Global Systems framework regarding Misuse of Leave Policy. Our organization, spanning 1,087 employees across India (Bengaluru, Hyderabad, Pune, Mumbai, Gurugram, Chennai, Kolkata, New Delhi) and internationally (Singapore, Dubai, London, Austin), relies on clear standards to maintain operational excellence.</w:t>
      </w:r>
    </w:p>
    <w:p>
      <w:pPr/>
      <w:r>
        <w:t>The provisions under Misuse of Leave Policy apply uniformly, with specific regional variations handled through the HR Business Partner. Strict adherence is expected from all personnel.</w:t>
      </w:r>
    </w:p>
    <w:p>
      <w:pPr>
        <w:pStyle w:val="ListBullet"/>
      </w:pPr>
      <w:r>
        <w:t>Primary responsibility for Misuse of Leave Policy rests with the employee and their reporting manager.</w:t>
      </w:r>
    </w:p>
    <w:p>
      <w:pPr>
        <w:pStyle w:val="ListBullet"/>
      </w:pPr>
      <w:r>
        <w:t>Vistara Global Systems integrates Misuse of Leave Policy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26.1 Implementation Procedures for Misuse of Leave Policy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26.2 Implementation Procedures for Misuse of Leave Policy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26.3 Implementation Procedures for Misuse of Leave Policy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27. Voting Leave for Elections</w:t>
      </w:r>
    </w:p>
    <w:p>
      <w:pPr/>
      <w:r>
        <w:t>This section establishes the Vistara Global Systems framework regarding Voting Leave for Elections.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Voting Leave for Elections apply uniformly, with specific regional variations handled through the HR Business Partner. Strict adherence is expected from all personnel.</w:t>
      </w:r>
    </w:p>
    <w:p>
      <w:pPr>
        <w:pStyle w:val="ListBullet"/>
      </w:pPr>
      <w:r>
        <w:t>Primary responsibility for Voting Leave for Elections rests with the employee and their reporting manager.</w:t>
      </w:r>
    </w:p>
    <w:p>
      <w:pPr>
        <w:pStyle w:val="ListBullet"/>
      </w:pPr>
      <w:r>
        <w:t>Vistara Global Systems integrates Voting Leave for Elections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27.1 Implementation Procedures for Voting Leave for Elections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27.2 Implementation Procedures for Voting Leave for Elections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27.3 Implementation Procedures for Voting Leave for Elections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28. Blood Donation Leave</w:t>
      </w:r>
    </w:p>
    <w:p>
      <w:pPr/>
      <w:r>
        <w:t>This section establishes the Vistara Global Systems framework regarding Blood Donation Leave. Our organization, spanning 1,087 employees across India (Bengaluru, Hyderabad, Pune, Mumbai, Gurugram, Chennai, Kolkata, New Delhi) and internationally (Singapore, Dubai, London, Austin), relies on clear standards to maintain operational excellence.</w:t>
      </w:r>
    </w:p>
    <w:p>
      <w:pPr/>
      <w:r>
        <w:t>The provisions under Blood Donation Leave apply uniformly, with specific regional variations handled through the HR Business Partner. Strict adherence is expected from all personnel.</w:t>
      </w:r>
    </w:p>
    <w:p>
      <w:pPr>
        <w:pStyle w:val="ListBullet"/>
      </w:pPr>
      <w:r>
        <w:t>Primary responsibility for Blood Donation Leave rests with the employee and their reporting manager.</w:t>
      </w:r>
    </w:p>
    <w:p>
      <w:pPr>
        <w:pStyle w:val="ListBullet"/>
      </w:pPr>
      <w:r>
        <w:t>Vistara Global Systems integrates Blood Donation Leave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Role</w:t>
            </w:r>
          </w:p>
        </w:tc>
        <w:tc>
          <w:tcPr>
            <w:tcW w:type="dxa" w:w="3120"/>
            <w:shd w:fill="1B3A5C" w:val="clear"/>
          </w:tcPr>
          <w:p>
            <w:pPr>
              <w:jc w:val="center"/>
            </w:pPr>
            <w:r>
              <w:rPr>
                <w:rFonts w:ascii="Calibri" w:hAnsi="Calibri"/>
                <w:b/>
                <w:color w:val="FFFFFF"/>
                <w:sz w:val="20"/>
              </w:rPr>
              <w:t xml:space="preserve">Responsibility regarding Blood Donation </w:t>
            </w:r>
          </w:p>
        </w:tc>
        <w:tc>
          <w:tcPr>
            <w:tcW w:type="dxa" w:w="3120"/>
            <w:shd w:fill="1B3A5C" w:val="clear"/>
          </w:tcPr>
          <w:p>
            <w:pPr>
              <w:jc w:val="center"/>
            </w:pPr>
            <w:r>
              <w:rPr>
                <w:rFonts w:ascii="Calibri" w:hAnsi="Calibri"/>
                <w:b/>
                <w:color w:val="FFFFFF"/>
                <w:sz w:val="20"/>
              </w:rPr>
              <w:t>SLA/Timeline</w:t>
            </w:r>
          </w:p>
        </w:tc>
      </w:tr>
      <w:tr>
        <w:tc>
          <w:tcPr>
            <w:tcW w:type="dxa" w:w="3120"/>
          </w:tcPr>
          <w:p>
            <w:r>
              <w:rPr>
                <w:rFonts w:ascii="Calibri" w:hAnsi="Calibri"/>
                <w:color w:val="333333"/>
                <w:sz w:val="18"/>
              </w:rPr>
              <w:t>Employee</w:t>
            </w:r>
          </w:p>
        </w:tc>
        <w:tc>
          <w:tcPr>
            <w:tcW w:type="dxa" w:w="3120"/>
          </w:tcPr>
          <w:p>
            <w:r>
              <w:rPr>
                <w:rFonts w:ascii="Calibri" w:hAnsi="Calibri"/>
                <w:color w:val="333333"/>
                <w:sz w:val="18"/>
              </w:rPr>
              <w:t>Initiate and comply with guidelines</w:t>
            </w:r>
          </w:p>
        </w:tc>
        <w:tc>
          <w:tcPr>
            <w:tcW w:type="dxa" w:w="3120"/>
          </w:tcPr>
          <w:p>
            <w:r>
              <w:rPr>
                <w:rFonts w:ascii="Calibri" w:hAnsi="Calibri"/>
                <w:color w:val="333333"/>
                <w:sz w:val="18"/>
              </w:rPr>
              <w:t>Immediate</w:t>
            </w:r>
          </w:p>
        </w:tc>
      </w:tr>
      <w:tr>
        <w:tc>
          <w:tcPr>
            <w:tcW w:type="dxa" w:w="3120"/>
            <w:shd w:fill="F2F6FA" w:val="clear"/>
          </w:tcPr>
          <w:p>
            <w:r>
              <w:rPr>
                <w:rFonts w:ascii="Calibri" w:hAnsi="Calibri"/>
                <w:color w:val="333333"/>
                <w:sz w:val="18"/>
              </w:rPr>
              <w:t>Manager</w:t>
            </w:r>
          </w:p>
        </w:tc>
        <w:tc>
          <w:tcPr>
            <w:tcW w:type="dxa" w:w="3120"/>
            <w:shd w:fill="F2F6FA" w:val="clear"/>
          </w:tcPr>
          <w:p>
            <w:r>
              <w:rPr>
                <w:rFonts w:ascii="Calibri" w:hAnsi="Calibri"/>
                <w:color w:val="333333"/>
                <w:sz w:val="18"/>
              </w:rPr>
              <w:t>Review and approve/reject</w:t>
            </w:r>
          </w:p>
        </w:tc>
        <w:tc>
          <w:tcPr>
            <w:tcW w:type="dxa" w:w="3120"/>
            <w:shd w:fill="F2F6FA" w:val="clear"/>
          </w:tcPr>
          <w:p>
            <w:r>
              <w:rPr>
                <w:rFonts w:ascii="Calibri" w:hAnsi="Calibri"/>
                <w:color w:val="333333"/>
                <w:sz w:val="18"/>
              </w:rPr>
              <w:t>48 Hours</w:t>
            </w:r>
          </w:p>
        </w:tc>
      </w:tr>
      <w:tr>
        <w:tc>
          <w:tcPr>
            <w:tcW w:type="dxa" w:w="3120"/>
          </w:tcPr>
          <w:p>
            <w:r>
              <w:rPr>
                <w:rFonts w:ascii="Calibri" w:hAnsi="Calibri"/>
                <w:color w:val="333333"/>
                <w:sz w:val="18"/>
              </w:rPr>
              <w:t>HR / Admin</w:t>
            </w:r>
          </w:p>
        </w:tc>
        <w:tc>
          <w:tcPr>
            <w:tcW w:type="dxa" w:w="3120"/>
          </w:tcPr>
          <w:p>
            <w:r>
              <w:rPr>
                <w:rFonts w:ascii="Calibri" w:hAnsi="Calibri"/>
                <w:color w:val="333333"/>
                <w:sz w:val="18"/>
              </w:rPr>
              <w:t>Audit and process final records</w:t>
            </w:r>
          </w:p>
        </w:tc>
        <w:tc>
          <w:tcPr>
            <w:tcW w:type="dxa" w:w="3120"/>
          </w:tcPr>
          <w:p>
            <w:r>
              <w:rPr>
                <w:rFonts w:ascii="Calibri" w:hAnsi="Calibri"/>
                <w:color w:val="333333"/>
                <w:sz w:val="18"/>
              </w:rPr>
              <w:t>5 Business Days</w:t>
            </w:r>
          </w:p>
        </w:tc>
      </w:tr>
    </w:tbl>
    <w:p/>
    <w:p>
      <w:pPr>
        <w:pStyle w:val="Heading2"/>
      </w:pPr>
      <w:r>
        <w:t>28.1 Implementation Procedures for Blood Donation Leave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28.2 Implementation Procedures for Blood Donation Leave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28.3 Implementation Procedures for Blood Donation Leave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29. Study / Examination Leave</w:t>
      </w:r>
    </w:p>
    <w:p>
      <w:pPr/>
      <w:r>
        <w:t>This section establishes the Vistara Global Systems framework regarding Study / Examination Leave. Our organization, spanning 1,087 employees across India (Bengaluru, Hyderabad, Pune, Mumbai, Gurugram, Chennai, Kolkata, New Delhi) and internationally (Singapore, Dubai, London, Austin), relies on clear standards to maintain operational excellence.</w:t>
      </w:r>
    </w:p>
    <w:p>
      <w:pPr/>
      <w:r>
        <w:t>The provisions under Study / Examination Leave apply uniformly, with specific regional variations handled through the HR Business Partner. Strict adherence is expected from all personnel.</w:t>
      </w:r>
    </w:p>
    <w:p>
      <w:pPr>
        <w:pStyle w:val="ListBullet"/>
      </w:pPr>
      <w:r>
        <w:t>Primary responsibility for Study / Examination Leave rests with the employee and their reporting manager.</w:t>
      </w:r>
    </w:p>
    <w:p>
      <w:pPr>
        <w:pStyle w:val="ListBullet"/>
      </w:pPr>
      <w:r>
        <w:t>Vistara Global Systems integrates Study / Examination Leave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29.1 Implementation Procedures for Study / Examination Leave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29.2 Implementation Procedures for Study / Examination Leave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29.3 Implementation Procedures for Study / Examination Leave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30. HRMS Leave Module Instructions</w:t>
      </w:r>
    </w:p>
    <w:p>
      <w:pPr/>
      <w:r>
        <w:t>This section establishes the Vistara Global Systems framework regarding HRMS Leave Module Instructions. Our organization, spanning 1,087 employees across India (Bengaluru, Hyderabad, Pune, Mumbai, Gurugram, Chennai, Kolkata, New Delhi) and internationally (Singapore, Dubai, London, Austin), relies on clear standards to maintain operational excellence.</w:t>
      </w:r>
    </w:p>
    <w:p>
      <w:pPr/>
      <w:r>
        <w:t>The provisions under HRMS Leave Module Instructions apply uniformly, with specific regional variations handled through the HR Business Partner. Strict adherence is expected from all personnel.</w:t>
      </w:r>
    </w:p>
    <w:p>
      <w:pPr>
        <w:pStyle w:val="ListBullet"/>
      </w:pPr>
      <w:r>
        <w:t>Primary responsibility for HRMS Leave Module Instructions rests with the employee and their reporting manager.</w:t>
      </w:r>
    </w:p>
    <w:p>
      <w:pPr>
        <w:pStyle w:val="ListBullet"/>
      </w:pPr>
      <w:r>
        <w:t>Vistara Global Systems integrates HRMS Leave Module Instructions within our broader enterprise software and cloud platforms ethos.</w:t>
      </w:r>
    </w:p>
    <w:p>
      <w:pPr>
        <w:pStyle w:val="ListBullet"/>
      </w:pPr>
      <w:r>
        <w:t>All actions must be logged in the company HRMS/ERP systems.</w:t>
      </w:r>
    </w:p>
    <w:p>
      <w:pPr>
        <w:pStyle w:val="ListBullet"/>
      </w:pPr>
      <w:r>
        <w:t>Exceptions require approval from the Department Head and HR.</w:t>
      </w:r>
    </w:p>
    <w:p>
      <w:pPr>
        <w:pStyle w:val="Heading2"/>
      </w:pPr>
      <w:r>
        <w:t>30.1 Implementation Procedures for HRMS Leave Module Instructions - Phase 1</w:t>
      </w:r>
    </w:p>
    <w:p>
      <w:pPr/>
      <w:r>
        <w:t>Phase 1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30.2 Implementation Procedures for HRMS Leave Module Instructions - Phase 2</w:t>
      </w:r>
    </w:p>
    <w:p>
      <w:pPr/>
      <w:r>
        <w:t>Phase 2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2"/>
      </w:pPr>
      <w:r>
        <w:t>30.3 Implementation Procedures for HRMS Leave Module Instructions - Phase 3</w:t>
      </w:r>
    </w:p>
    <w:p>
      <w:pPr/>
      <w:r>
        <w:t>Phase 3 execution details the granular steps necessary. Employees must:</w:t>
      </w:r>
    </w:p>
    <w:p>
      <w:pPr>
        <w:pStyle w:val="ListNumber"/>
      </w:pPr>
      <w:r>
        <w:t>Consult the internal portal for the latest forms.</w:t>
      </w:r>
    </w:p>
    <w:p>
      <w:pPr>
        <w:pStyle w:val="ListNumber"/>
      </w:pPr>
      <w:r>
        <w:t>Discuss potential impacts with the team lead.</w:t>
      </w:r>
    </w:p>
    <w:p>
      <w:pPr>
        <w:pStyle w:val="ListNumber"/>
      </w:pPr>
      <w:r>
        <w:t>Execute the procedure while safeguarding company data.</w:t>
      </w:r>
    </w:p>
    <w:p>
      <w:pPr>
        <w:pStyle w:val="ListNumber"/>
      </w:pPr>
      <w:r>
        <w:t>Submit completion reports where mandated.</w:t>
      </w:r>
    </w:p>
    <w:p>
      <w:pPr>
        <w:pStyle w:val="Heading1"/>
      </w:pPr>
      <w:r>
        <w:t>31. Frequently Asked Questions (FAQ)</w:t>
      </w:r>
    </w:p>
    <w:p>
      <w:r>
        <w:rPr>
          <w:rFonts w:ascii="Calibri" w:hAnsi="Calibri"/>
          <w:b/>
          <w:color w:val="1B3A5C"/>
          <w:sz w:val="22"/>
        </w:rPr>
        <w:t>Q: Leave FAQ 1?</w:t>
      </w:r>
    </w:p>
    <w:p>
      <w:pPr>
        <w:spacing w:after="240"/>
      </w:pPr>
      <w:r>
        <w:rPr>
          <w:rFonts w:ascii="Calibri" w:hAnsi="Calibri"/>
          <w:color w:val="333333"/>
          <w:sz w:val="22"/>
        </w:rPr>
        <w:t>A: Leave Answer 1: Check the HRMS portal for your specific leave balance.</w:t>
      </w:r>
    </w:p>
    <w:p>
      <w:r>
        <w:rPr>
          <w:rFonts w:ascii="Calibri" w:hAnsi="Calibri"/>
          <w:b/>
          <w:color w:val="1B3A5C"/>
          <w:sz w:val="22"/>
        </w:rPr>
        <w:t>Q: Leave FAQ 2?</w:t>
      </w:r>
    </w:p>
    <w:p>
      <w:pPr>
        <w:spacing w:after="240"/>
      </w:pPr>
      <w:r>
        <w:rPr>
          <w:rFonts w:ascii="Calibri" w:hAnsi="Calibri"/>
          <w:color w:val="333333"/>
          <w:sz w:val="22"/>
        </w:rPr>
        <w:t>A: Leave Answer 2: Check the HRMS portal for your specific leave balance.</w:t>
      </w:r>
    </w:p>
    <w:p>
      <w:r>
        <w:rPr>
          <w:rFonts w:ascii="Calibri" w:hAnsi="Calibri"/>
          <w:b/>
          <w:color w:val="1B3A5C"/>
          <w:sz w:val="22"/>
        </w:rPr>
        <w:t>Q: Leave FAQ 3?</w:t>
      </w:r>
    </w:p>
    <w:p>
      <w:pPr>
        <w:spacing w:after="240"/>
      </w:pPr>
      <w:r>
        <w:rPr>
          <w:rFonts w:ascii="Calibri" w:hAnsi="Calibri"/>
          <w:color w:val="333333"/>
          <w:sz w:val="22"/>
        </w:rPr>
        <w:t>A: Leave Answer 3: Check the HRMS portal for your specific leave balance.</w:t>
      </w:r>
    </w:p>
    <w:p>
      <w:r>
        <w:rPr>
          <w:rFonts w:ascii="Calibri" w:hAnsi="Calibri"/>
          <w:b/>
          <w:color w:val="1B3A5C"/>
          <w:sz w:val="22"/>
        </w:rPr>
        <w:t>Q: Leave FAQ 4?</w:t>
      </w:r>
    </w:p>
    <w:p>
      <w:pPr>
        <w:spacing w:after="240"/>
      </w:pPr>
      <w:r>
        <w:rPr>
          <w:rFonts w:ascii="Calibri" w:hAnsi="Calibri"/>
          <w:color w:val="333333"/>
          <w:sz w:val="22"/>
        </w:rPr>
        <w:t>A: Leave Answer 4: Check the HRMS portal for your specific leave balance.</w:t>
      </w:r>
    </w:p>
    <w:p>
      <w:r>
        <w:rPr>
          <w:rFonts w:ascii="Calibri" w:hAnsi="Calibri"/>
          <w:b/>
          <w:color w:val="1B3A5C"/>
          <w:sz w:val="22"/>
        </w:rPr>
        <w:t>Q: Leave FAQ 5?</w:t>
      </w:r>
    </w:p>
    <w:p>
      <w:pPr>
        <w:spacing w:after="240"/>
      </w:pPr>
      <w:r>
        <w:rPr>
          <w:rFonts w:ascii="Calibri" w:hAnsi="Calibri"/>
          <w:color w:val="333333"/>
          <w:sz w:val="22"/>
        </w:rPr>
        <w:t>A: Leave Answer 5: Check the HRMS portal for your specific leave balance.</w:t>
      </w:r>
    </w:p>
    <w:p>
      <w:r>
        <w:rPr>
          <w:rFonts w:ascii="Calibri" w:hAnsi="Calibri"/>
          <w:b/>
          <w:color w:val="1B3A5C"/>
          <w:sz w:val="22"/>
        </w:rPr>
        <w:t>Q: Leave FAQ 6?</w:t>
      </w:r>
    </w:p>
    <w:p>
      <w:pPr>
        <w:spacing w:after="240"/>
      </w:pPr>
      <w:r>
        <w:rPr>
          <w:rFonts w:ascii="Calibri" w:hAnsi="Calibri"/>
          <w:color w:val="333333"/>
          <w:sz w:val="22"/>
        </w:rPr>
        <w:t>A: Leave Answer 6: Check the HRMS portal for your specific leave balance.</w:t>
      </w:r>
    </w:p>
    <w:p>
      <w:r>
        <w:rPr>
          <w:rFonts w:ascii="Calibri" w:hAnsi="Calibri"/>
          <w:b/>
          <w:color w:val="1B3A5C"/>
          <w:sz w:val="22"/>
        </w:rPr>
        <w:t>Q: Leave FAQ 7?</w:t>
      </w:r>
    </w:p>
    <w:p>
      <w:pPr>
        <w:spacing w:after="240"/>
      </w:pPr>
      <w:r>
        <w:rPr>
          <w:rFonts w:ascii="Calibri" w:hAnsi="Calibri"/>
          <w:color w:val="333333"/>
          <w:sz w:val="22"/>
        </w:rPr>
        <w:t>A: Leave Answer 7: Check the HRMS portal for your specific leave balance.</w:t>
      </w:r>
    </w:p>
    <w:p>
      <w:r>
        <w:rPr>
          <w:rFonts w:ascii="Calibri" w:hAnsi="Calibri"/>
          <w:b/>
          <w:color w:val="1B3A5C"/>
          <w:sz w:val="22"/>
        </w:rPr>
        <w:t>Q: Leave FAQ 8?</w:t>
      </w:r>
    </w:p>
    <w:p>
      <w:pPr>
        <w:spacing w:after="240"/>
      </w:pPr>
      <w:r>
        <w:rPr>
          <w:rFonts w:ascii="Calibri" w:hAnsi="Calibri"/>
          <w:color w:val="333333"/>
          <w:sz w:val="22"/>
        </w:rPr>
        <w:t>A: Leave Answer 8: Check the HRMS portal for your specific leave balance.</w:t>
      </w:r>
    </w:p>
    <w:p>
      <w:r>
        <w:rPr>
          <w:rFonts w:ascii="Calibri" w:hAnsi="Calibri"/>
          <w:b/>
          <w:color w:val="1B3A5C"/>
          <w:sz w:val="22"/>
        </w:rPr>
        <w:t>Q: Leave FAQ 9?</w:t>
      </w:r>
    </w:p>
    <w:p>
      <w:pPr>
        <w:spacing w:after="240"/>
      </w:pPr>
      <w:r>
        <w:rPr>
          <w:rFonts w:ascii="Calibri" w:hAnsi="Calibri"/>
          <w:color w:val="333333"/>
          <w:sz w:val="22"/>
        </w:rPr>
        <w:t>A: Leave Answer 9: Check the HRMS portal for your specific leave balance.</w:t>
      </w:r>
    </w:p>
    <w:p>
      <w:r>
        <w:rPr>
          <w:rFonts w:ascii="Calibri" w:hAnsi="Calibri"/>
          <w:b/>
          <w:color w:val="1B3A5C"/>
          <w:sz w:val="22"/>
        </w:rPr>
        <w:t>Q: Leave FAQ 10?</w:t>
      </w:r>
    </w:p>
    <w:p>
      <w:pPr>
        <w:spacing w:after="240"/>
      </w:pPr>
      <w:r>
        <w:rPr>
          <w:rFonts w:ascii="Calibri" w:hAnsi="Calibri"/>
          <w:color w:val="333333"/>
          <w:sz w:val="22"/>
        </w:rPr>
        <w:t>A: Leave Answer 10: Check the HRMS portal for your specific leave balance.</w:t>
      </w:r>
    </w:p>
    <w:p>
      <w:r>
        <w:rPr>
          <w:rFonts w:ascii="Calibri" w:hAnsi="Calibri"/>
          <w:b/>
          <w:color w:val="1B3A5C"/>
          <w:sz w:val="22"/>
        </w:rPr>
        <w:t>Q: Leave FAQ 11?</w:t>
      </w:r>
    </w:p>
    <w:p>
      <w:pPr>
        <w:spacing w:after="240"/>
      </w:pPr>
      <w:r>
        <w:rPr>
          <w:rFonts w:ascii="Calibri" w:hAnsi="Calibri"/>
          <w:color w:val="333333"/>
          <w:sz w:val="22"/>
        </w:rPr>
        <w:t>A: Leave Answer 11: Check the HRMS portal for your specific leave balance.</w:t>
      </w:r>
    </w:p>
    <w:p>
      <w:r>
        <w:rPr>
          <w:rFonts w:ascii="Calibri" w:hAnsi="Calibri"/>
          <w:b/>
          <w:color w:val="1B3A5C"/>
          <w:sz w:val="22"/>
        </w:rPr>
        <w:t>Q: Leave FAQ 12?</w:t>
      </w:r>
    </w:p>
    <w:p>
      <w:pPr>
        <w:spacing w:after="240"/>
      </w:pPr>
      <w:r>
        <w:rPr>
          <w:rFonts w:ascii="Calibri" w:hAnsi="Calibri"/>
          <w:color w:val="333333"/>
          <w:sz w:val="22"/>
        </w:rPr>
        <w:t>A: Leave Answer 12: Check the HRMS portal for your specific leave balance.</w:t>
      </w:r>
    </w:p>
    <w:p>
      <w:r>
        <w:rPr>
          <w:rFonts w:ascii="Calibri" w:hAnsi="Calibri"/>
          <w:b/>
          <w:color w:val="1B3A5C"/>
          <w:sz w:val="22"/>
        </w:rPr>
        <w:t>Q: Leave FAQ 13?</w:t>
      </w:r>
    </w:p>
    <w:p>
      <w:pPr>
        <w:spacing w:after="240"/>
      </w:pPr>
      <w:r>
        <w:rPr>
          <w:rFonts w:ascii="Calibri" w:hAnsi="Calibri"/>
          <w:color w:val="333333"/>
          <w:sz w:val="22"/>
        </w:rPr>
        <w:t>A: Leave Answer 13: Check the HRMS portal for your specific leave balance.</w:t>
      </w:r>
    </w:p>
    <w:p>
      <w:r>
        <w:rPr>
          <w:rFonts w:ascii="Calibri" w:hAnsi="Calibri"/>
          <w:b/>
          <w:color w:val="1B3A5C"/>
          <w:sz w:val="22"/>
        </w:rPr>
        <w:t>Q: Leave FAQ 14?</w:t>
      </w:r>
    </w:p>
    <w:p>
      <w:pPr>
        <w:spacing w:after="240"/>
      </w:pPr>
      <w:r>
        <w:rPr>
          <w:rFonts w:ascii="Calibri" w:hAnsi="Calibri"/>
          <w:color w:val="333333"/>
          <w:sz w:val="22"/>
        </w:rPr>
        <w:t>A: Leave Answer 14: Check the HRMS portal for your specific leave balance.</w:t>
      </w:r>
    </w:p>
    <w:p>
      <w:pPr>
        <w:pStyle w:val="Heading1"/>
      </w:pPr>
      <w:r>
        <w:t>32. Workplace Scenarios</w:t>
      </w:r>
    </w:p>
    <w:p>
      <w:pPr>
        <w:pStyle w:val="Heading3"/>
      </w:pPr>
      <w:r>
        <w:t>Scenario 1: Medical Emergency</w:t>
      </w:r>
    </w:p>
    <w:p>
      <w:r>
        <w:rPr>
          <w:b/>
          <w:color w:val="1B3A5C"/>
        </w:rPr>
        <w:t xml:space="preserve">Situation: </w:t>
      </w:r>
      <w:r>
        <w:t>Kunal Pandey needs urgent 5 days off.</w:t>
      </w:r>
    </w:p>
    <w:p>
      <w:r>
        <w:rPr>
          <w:b/>
          <w:color w:val="1B3A5C"/>
        </w:rPr>
        <w:t xml:space="preserve">Relevant Requirements: </w:t>
      </w:r>
      <w:r>
        <w:t>Medical certificate if &gt; 3 days</w:t>
      </w:r>
    </w:p>
    <w:p>
      <w:r>
        <w:rPr>
          <w:b/>
          <w:color w:val="1B3A5C"/>
        </w:rPr>
        <w:t xml:space="preserve">Expected Process: </w:t>
      </w:r>
      <w:r>
        <w:t>Inform manager, apply on HRMS later.</w:t>
      </w:r>
    </w:p>
    <w:p>
      <w:r>
        <w:rPr>
          <w:b/>
          <w:color w:val="1B3A5C"/>
        </w:rPr>
        <w:t xml:space="preserve">Outcome: </w:t>
      </w:r>
      <w:r>
        <w:t>Leave approved as Sick Leave.</w:t>
      </w:r>
    </w:p>
    <w:p/>
    <w:p>
      <w:pPr>
        <w:pStyle w:val="Heading1"/>
      </w:pPr>
      <w:r>
        <w:t>33. Appendices &amp; Checklists</w:t>
      </w:r>
    </w:p>
    <w:p>
      <w:pPr>
        <w:pStyle w:val="Heading2"/>
      </w:pPr>
      <w:r>
        <w:t>33.1 Employee Checklist</w:t>
      </w:r>
    </w:p>
    <w:tbl>
      <w:tblPr>
        <w:tblStyle w:val="TableGrid"/>
        <w:tblW w:type="auto" w:w="0"/>
        <w:jc w:val="left"/>
        <w:tblLook w:firstColumn="1" w:firstRow="1" w:lastColumn="0" w:lastRow="0" w:noHBand="0" w:noVBand="1" w:val="04A0"/>
      </w:tblPr>
      <w:tblGrid>
        <w:gridCol w:w="3120"/>
        <w:gridCol w:w="3120"/>
        <w:gridCol w:w="3120"/>
      </w:tblGrid>
      <w:tr>
        <w:tc>
          <w:tcPr>
            <w:tcW w:type="dxa" w:w="3120"/>
            <w:shd w:fill="1B3A5C" w:val="clear"/>
          </w:tcPr>
          <w:p>
            <w:pPr>
              <w:jc w:val="center"/>
            </w:pPr>
            <w:r>
              <w:rPr>
                <w:rFonts w:ascii="Calibri" w:hAnsi="Calibri"/>
                <w:b/>
                <w:color w:val="FFFFFF"/>
                <w:sz w:val="20"/>
              </w:rPr>
              <w:t>Requirement</w:t>
            </w:r>
          </w:p>
        </w:tc>
        <w:tc>
          <w:tcPr>
            <w:tcW w:type="dxa" w:w="3120"/>
            <w:shd w:fill="1B3A5C" w:val="clear"/>
          </w:tcPr>
          <w:p>
            <w:pPr>
              <w:jc w:val="center"/>
            </w:pPr>
            <w:r>
              <w:rPr>
                <w:rFonts w:ascii="Calibri" w:hAnsi="Calibri"/>
                <w:b/>
                <w:color w:val="FFFFFF"/>
                <w:sz w:val="20"/>
              </w:rPr>
              <w:t>Details</w:t>
            </w:r>
          </w:p>
        </w:tc>
        <w:tc>
          <w:tcPr>
            <w:tcW w:type="dxa" w:w="3120"/>
            <w:shd w:fill="1B3A5C" w:val="clear"/>
          </w:tcPr>
          <w:p>
            <w:pPr>
              <w:jc w:val="center"/>
            </w:pPr>
            <w:r>
              <w:rPr>
                <w:rFonts w:ascii="Calibri" w:hAnsi="Calibri"/>
                <w:b/>
                <w:color w:val="FFFFFF"/>
                <w:sz w:val="20"/>
              </w:rPr>
              <w:t>Completion</w:t>
            </w:r>
          </w:p>
        </w:tc>
      </w:tr>
      <w:tr>
        <w:tc>
          <w:tcPr>
            <w:tcW w:type="dxa" w:w="3120"/>
          </w:tcPr>
          <w:p>
            <w:r>
              <w:rPr>
                <w:rFonts w:ascii="Calibri" w:hAnsi="Calibri"/>
                <w:color w:val="333333"/>
                <w:sz w:val="18"/>
              </w:rPr>
              <w:t>Policy Review</w:t>
            </w:r>
          </w:p>
        </w:tc>
        <w:tc>
          <w:tcPr>
            <w:tcW w:type="dxa" w:w="3120"/>
          </w:tcPr>
          <w:p>
            <w:r>
              <w:rPr>
                <w:rFonts w:ascii="Calibri" w:hAnsi="Calibri"/>
                <w:color w:val="333333"/>
                <w:sz w:val="18"/>
              </w:rPr>
              <w:t>Read entire document</w:t>
            </w:r>
          </w:p>
        </w:tc>
        <w:tc>
          <w:tcPr>
            <w:tcW w:type="dxa" w:w="3120"/>
          </w:tcPr>
          <w:p>
            <w:r>
              <w:rPr>
                <w:rFonts w:ascii="Calibri" w:hAnsi="Calibri"/>
                <w:color w:val="333333"/>
                <w:sz w:val="18"/>
              </w:rPr>
              <w:t>[  ]</w:t>
            </w:r>
          </w:p>
        </w:tc>
      </w:tr>
      <w:tr>
        <w:tc>
          <w:tcPr>
            <w:tcW w:type="dxa" w:w="3120"/>
            <w:shd w:fill="F2F6FA" w:val="clear"/>
          </w:tcPr>
          <w:p>
            <w:r>
              <w:rPr>
                <w:rFonts w:ascii="Calibri" w:hAnsi="Calibri"/>
                <w:color w:val="333333"/>
                <w:sz w:val="18"/>
              </w:rPr>
              <w:t>Manager Sync</w:t>
            </w:r>
          </w:p>
        </w:tc>
        <w:tc>
          <w:tcPr>
            <w:tcW w:type="dxa" w:w="3120"/>
            <w:shd w:fill="F2F6FA" w:val="clear"/>
          </w:tcPr>
          <w:p>
            <w:r>
              <w:rPr>
                <w:rFonts w:ascii="Calibri" w:hAnsi="Calibri"/>
                <w:color w:val="333333"/>
                <w:sz w:val="18"/>
              </w:rPr>
              <w:t>Discuss impact on daily role</w:t>
            </w:r>
          </w:p>
        </w:tc>
        <w:tc>
          <w:tcPr>
            <w:tcW w:type="dxa" w:w="3120"/>
            <w:shd w:fill="F2F6FA" w:val="clear"/>
          </w:tcPr>
          <w:p>
            <w:r>
              <w:rPr>
                <w:rFonts w:ascii="Calibri" w:hAnsi="Calibri"/>
                <w:color w:val="333333"/>
                <w:sz w:val="18"/>
              </w:rPr>
              <w:t>[  ]</w:t>
            </w:r>
          </w:p>
        </w:tc>
      </w:tr>
      <w:tr>
        <w:tc>
          <w:tcPr>
            <w:tcW w:type="dxa" w:w="3120"/>
          </w:tcPr>
          <w:p>
            <w:r>
              <w:rPr>
                <w:rFonts w:ascii="Calibri" w:hAnsi="Calibri"/>
                <w:color w:val="333333"/>
                <w:sz w:val="18"/>
              </w:rPr>
              <w:t>Acknowledgment</w:t>
            </w:r>
          </w:p>
        </w:tc>
        <w:tc>
          <w:tcPr>
            <w:tcW w:type="dxa" w:w="3120"/>
          </w:tcPr>
          <w:p>
            <w:r>
              <w:rPr>
                <w:rFonts w:ascii="Calibri" w:hAnsi="Calibri"/>
                <w:color w:val="333333"/>
                <w:sz w:val="18"/>
              </w:rPr>
              <w:t>Sign via HRMS</w:t>
            </w:r>
          </w:p>
        </w:tc>
        <w:tc>
          <w:tcPr>
            <w:tcW w:type="dxa" w:w="3120"/>
          </w:tcPr>
          <w:p>
            <w:r>
              <w:rPr>
                <w:rFonts w:ascii="Calibri" w:hAnsi="Calibri"/>
                <w:color w:val="333333"/>
                <w:sz w:val="18"/>
              </w:rPr>
              <w:t>[  ]</w:t>
            </w:r>
          </w:p>
        </w:tc>
      </w:tr>
    </w:tbl>
    <w:p/>
    <w:p>
      <w:pPr>
        <w:pStyle w:val="Heading1"/>
      </w:pPr>
      <w:r>
        <w:t>33. Leave Entitlements by Location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Location</w:t>
            </w:r>
          </w:p>
        </w:tc>
        <w:tc>
          <w:tcPr>
            <w:tcW w:type="dxa" w:w="2340"/>
            <w:shd w:fill="1B3A5C" w:val="clear"/>
          </w:tcPr>
          <w:p>
            <w:pPr>
              <w:jc w:val="center"/>
            </w:pPr>
            <w:r>
              <w:rPr>
                <w:rFonts w:ascii="Calibri" w:hAnsi="Calibri"/>
                <w:b/>
                <w:color w:val="FFFFFF"/>
                <w:sz w:val="20"/>
              </w:rPr>
              <w:t>Annual Leave</w:t>
            </w:r>
          </w:p>
        </w:tc>
        <w:tc>
          <w:tcPr>
            <w:tcW w:type="dxa" w:w="2340"/>
            <w:shd w:fill="1B3A5C" w:val="clear"/>
          </w:tcPr>
          <w:p>
            <w:pPr>
              <w:jc w:val="center"/>
            </w:pPr>
            <w:r>
              <w:rPr>
                <w:rFonts w:ascii="Calibri" w:hAnsi="Calibri"/>
                <w:b/>
                <w:color w:val="FFFFFF"/>
                <w:sz w:val="20"/>
              </w:rPr>
              <w:t>Sick Leave</w:t>
            </w:r>
          </w:p>
        </w:tc>
        <w:tc>
          <w:tcPr>
            <w:tcW w:type="dxa" w:w="2340"/>
            <w:shd w:fill="1B3A5C" w:val="clear"/>
          </w:tcPr>
          <w:p>
            <w:pPr>
              <w:jc w:val="center"/>
            </w:pPr>
            <w:r>
              <w:rPr>
                <w:rFonts w:ascii="Calibri" w:hAnsi="Calibri"/>
                <w:b/>
                <w:color w:val="FFFFFF"/>
                <w:sz w:val="20"/>
              </w:rPr>
              <w:t>Public Holidays</w:t>
            </w:r>
          </w:p>
        </w:tc>
      </w:tr>
      <w:tr>
        <w:tc>
          <w:tcPr>
            <w:tcW w:type="dxa" w:w="2340"/>
          </w:tcPr>
          <w:p>
            <w:r>
              <w:rPr>
                <w:rFonts w:ascii="Calibri" w:hAnsi="Calibri"/>
                <w:color w:val="333333"/>
                <w:sz w:val="18"/>
              </w:rPr>
              <w:t>India (All offices)</w:t>
            </w:r>
          </w:p>
        </w:tc>
        <w:tc>
          <w:tcPr>
            <w:tcW w:type="dxa" w:w="2340"/>
          </w:tcPr>
          <w:p>
            <w:r>
              <w:rPr>
                <w:rFonts w:ascii="Calibri" w:hAnsi="Calibri"/>
                <w:color w:val="333333"/>
                <w:sz w:val="18"/>
              </w:rPr>
              <w:t>24 days</w:t>
            </w:r>
          </w:p>
        </w:tc>
        <w:tc>
          <w:tcPr>
            <w:tcW w:type="dxa" w:w="2340"/>
          </w:tcPr>
          <w:p>
            <w:r>
              <w:rPr>
                <w:rFonts w:ascii="Calibri" w:hAnsi="Calibri"/>
                <w:color w:val="333333"/>
                <w:sz w:val="18"/>
              </w:rPr>
              <w:t>12 days</w:t>
            </w:r>
          </w:p>
        </w:tc>
        <w:tc>
          <w:tcPr>
            <w:tcW w:type="dxa" w:w="2340"/>
          </w:tcPr>
          <w:p>
            <w:r>
              <w:rPr>
                <w:rFonts w:ascii="Calibri" w:hAnsi="Calibri"/>
                <w:color w:val="333333"/>
                <w:sz w:val="18"/>
              </w:rPr>
              <w:t>10-12 days (State dependent)</w:t>
            </w:r>
          </w:p>
        </w:tc>
      </w:tr>
      <w:tr>
        <w:tc>
          <w:tcPr>
            <w:tcW w:type="dxa" w:w="2340"/>
            <w:shd w:fill="F2F6FA" w:val="clear"/>
          </w:tcPr>
          <w:p>
            <w:r>
              <w:rPr>
                <w:rFonts w:ascii="Calibri" w:hAnsi="Calibri"/>
                <w:color w:val="333333"/>
                <w:sz w:val="18"/>
              </w:rPr>
              <w:t>US (Austin)</w:t>
            </w:r>
          </w:p>
        </w:tc>
        <w:tc>
          <w:tcPr>
            <w:tcW w:type="dxa" w:w="2340"/>
            <w:shd w:fill="F2F6FA" w:val="clear"/>
          </w:tcPr>
          <w:p>
            <w:r>
              <w:rPr>
                <w:rFonts w:ascii="Calibri" w:hAnsi="Calibri"/>
                <w:color w:val="333333"/>
                <w:sz w:val="18"/>
              </w:rPr>
              <w:t>15 days PTO</w:t>
            </w:r>
          </w:p>
        </w:tc>
        <w:tc>
          <w:tcPr>
            <w:tcW w:type="dxa" w:w="2340"/>
            <w:shd w:fill="F2F6FA" w:val="clear"/>
          </w:tcPr>
          <w:p>
            <w:r>
              <w:rPr>
                <w:rFonts w:ascii="Calibri" w:hAnsi="Calibri"/>
                <w:color w:val="333333"/>
                <w:sz w:val="18"/>
              </w:rPr>
              <w:t>10 days</w:t>
            </w:r>
          </w:p>
        </w:tc>
        <w:tc>
          <w:tcPr>
            <w:tcW w:type="dxa" w:w="2340"/>
            <w:shd w:fill="F2F6FA" w:val="clear"/>
          </w:tcPr>
          <w:p>
            <w:r>
              <w:rPr>
                <w:rFonts w:ascii="Calibri" w:hAnsi="Calibri"/>
                <w:color w:val="333333"/>
                <w:sz w:val="18"/>
              </w:rPr>
              <w:t>10 Federal Holidays</w:t>
            </w:r>
          </w:p>
        </w:tc>
      </w:tr>
      <w:tr>
        <w:tc>
          <w:tcPr>
            <w:tcW w:type="dxa" w:w="2340"/>
          </w:tcPr>
          <w:p>
            <w:r>
              <w:rPr>
                <w:rFonts w:ascii="Calibri" w:hAnsi="Calibri"/>
                <w:color w:val="333333"/>
                <w:sz w:val="18"/>
              </w:rPr>
              <w:t>UK (London)</w:t>
            </w:r>
          </w:p>
        </w:tc>
        <w:tc>
          <w:tcPr>
            <w:tcW w:type="dxa" w:w="2340"/>
          </w:tcPr>
          <w:p>
            <w:r>
              <w:rPr>
                <w:rFonts w:ascii="Calibri" w:hAnsi="Calibri"/>
                <w:color w:val="333333"/>
                <w:sz w:val="18"/>
              </w:rPr>
              <w:t>25 days</w:t>
            </w:r>
          </w:p>
        </w:tc>
        <w:tc>
          <w:tcPr>
            <w:tcW w:type="dxa" w:w="2340"/>
          </w:tcPr>
          <w:p>
            <w:r>
              <w:rPr>
                <w:rFonts w:ascii="Calibri" w:hAnsi="Calibri"/>
                <w:color w:val="333333"/>
                <w:sz w:val="18"/>
              </w:rPr>
              <w:t>Statutory</w:t>
            </w:r>
          </w:p>
        </w:tc>
        <w:tc>
          <w:tcPr>
            <w:tcW w:type="dxa" w:w="2340"/>
          </w:tcPr>
          <w:p>
            <w:r>
              <w:rPr>
                <w:rFonts w:ascii="Calibri" w:hAnsi="Calibri"/>
                <w:color w:val="333333"/>
                <w:sz w:val="18"/>
              </w:rPr>
              <w:t>8 Bank Holidays</w:t>
            </w:r>
          </w:p>
        </w:tc>
      </w:tr>
      <w:tr>
        <w:tc>
          <w:tcPr>
            <w:tcW w:type="dxa" w:w="2340"/>
            <w:shd w:fill="F2F6FA" w:val="clear"/>
          </w:tcPr>
          <w:p>
            <w:r>
              <w:rPr>
                <w:rFonts w:ascii="Calibri" w:hAnsi="Calibri"/>
                <w:color w:val="333333"/>
                <w:sz w:val="18"/>
              </w:rPr>
              <w:t>Singapore</w:t>
            </w:r>
          </w:p>
        </w:tc>
        <w:tc>
          <w:tcPr>
            <w:tcW w:type="dxa" w:w="2340"/>
            <w:shd w:fill="F2F6FA" w:val="clear"/>
          </w:tcPr>
          <w:p>
            <w:r>
              <w:rPr>
                <w:rFonts w:ascii="Calibri" w:hAnsi="Calibri"/>
                <w:color w:val="333333"/>
                <w:sz w:val="18"/>
              </w:rPr>
              <w:t>18 days</w:t>
            </w:r>
          </w:p>
        </w:tc>
        <w:tc>
          <w:tcPr>
            <w:tcW w:type="dxa" w:w="2340"/>
            <w:shd w:fill="F2F6FA" w:val="clear"/>
          </w:tcPr>
          <w:p>
            <w:r>
              <w:rPr>
                <w:rFonts w:ascii="Calibri" w:hAnsi="Calibri"/>
                <w:color w:val="333333"/>
                <w:sz w:val="18"/>
              </w:rPr>
              <w:t>14 days</w:t>
            </w:r>
          </w:p>
        </w:tc>
        <w:tc>
          <w:tcPr>
            <w:tcW w:type="dxa" w:w="2340"/>
            <w:shd w:fill="F2F6FA" w:val="clear"/>
          </w:tcPr>
          <w:p>
            <w:r>
              <w:rPr>
                <w:rFonts w:ascii="Calibri" w:hAnsi="Calibri"/>
                <w:color w:val="333333"/>
                <w:sz w:val="18"/>
              </w:rPr>
              <w:t>11 Public Holidays</w:t>
            </w:r>
          </w:p>
        </w:tc>
      </w:tr>
      <w:tr>
        <w:tc>
          <w:tcPr>
            <w:tcW w:type="dxa" w:w="2340"/>
          </w:tcPr>
          <w:p>
            <w:r>
              <w:rPr>
                <w:rFonts w:ascii="Calibri" w:hAnsi="Calibri"/>
                <w:color w:val="333333"/>
                <w:sz w:val="18"/>
              </w:rPr>
              <w:t>Dubai</w:t>
            </w:r>
          </w:p>
        </w:tc>
        <w:tc>
          <w:tcPr>
            <w:tcW w:type="dxa" w:w="2340"/>
          </w:tcPr>
          <w:p>
            <w:r>
              <w:rPr>
                <w:rFonts w:ascii="Calibri" w:hAnsi="Calibri"/>
                <w:color w:val="333333"/>
                <w:sz w:val="18"/>
              </w:rPr>
              <w:t>30 calendar days</w:t>
            </w:r>
          </w:p>
        </w:tc>
        <w:tc>
          <w:tcPr>
            <w:tcW w:type="dxa" w:w="2340"/>
          </w:tcPr>
          <w:p>
            <w:r>
              <w:rPr>
                <w:rFonts w:ascii="Calibri" w:hAnsi="Calibri"/>
                <w:color w:val="333333"/>
                <w:sz w:val="18"/>
              </w:rPr>
              <w:t>15 days</w:t>
            </w:r>
          </w:p>
        </w:tc>
        <w:tc>
          <w:tcPr>
            <w:tcW w:type="dxa" w:w="2340"/>
          </w:tcPr>
          <w:p>
            <w:r>
              <w:rPr>
                <w:rFonts w:ascii="Calibri" w:hAnsi="Calibri"/>
                <w:color w:val="333333"/>
                <w:sz w:val="18"/>
              </w:rPr>
              <w:t>UAE Declared Holidays</w:t>
            </w:r>
          </w:p>
        </w:tc>
      </w:tr>
    </w:tbl>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2.0</w:t>
            </w:r>
          </w:p>
        </w:tc>
        <w:tc>
          <w:tcPr>
            <w:tcW w:type="dxa" w:w="1872"/>
          </w:tcPr>
          <w:p>
            <w:r>
              <w:rPr>
                <w:rFonts w:ascii="Calibri" w:hAnsi="Calibri"/>
                <w:color w:val="333333"/>
                <w:sz w:val="18"/>
              </w:rPr>
              <w:t>10 Jan 2024</w:t>
            </w:r>
          </w:p>
        </w:tc>
        <w:tc>
          <w:tcPr>
            <w:tcW w:type="dxa" w:w="2160"/>
          </w:tcPr>
          <w:p>
            <w:r>
              <w:rPr>
                <w:rFonts w:ascii="Calibri" w:hAnsi="Calibri"/>
                <w:color w:val="333333"/>
                <w:sz w:val="18"/>
              </w:rPr>
              <w:t>HR</w:t>
            </w:r>
          </w:p>
        </w:tc>
        <w:tc>
          <w:tcPr>
            <w:tcW w:type="dxa" w:w="4320"/>
          </w:tcPr>
          <w:p>
            <w:r>
              <w:rPr>
                <w:rFonts w:ascii="Calibri" w:hAnsi="Calibri"/>
                <w:color w:val="333333"/>
                <w:sz w:val="18"/>
              </w:rPr>
              <w:t>Standardized India leave</w:t>
            </w:r>
          </w:p>
        </w:tc>
      </w:tr>
      <w:tr>
        <w:tc>
          <w:tcPr>
            <w:tcW w:type="dxa" w:w="1152"/>
            <w:shd w:fill="F2F6FA" w:val="clear"/>
          </w:tcPr>
          <w:p>
            <w:r>
              <w:rPr>
                <w:rFonts w:ascii="Calibri" w:hAnsi="Calibri"/>
                <w:color w:val="333333"/>
                <w:sz w:val="18"/>
              </w:rPr>
              <w:t>2.2</w:t>
            </w:r>
          </w:p>
        </w:tc>
        <w:tc>
          <w:tcPr>
            <w:tcW w:type="dxa" w:w="1872"/>
            <w:shd w:fill="F2F6FA" w:val="clear"/>
          </w:tcPr>
          <w:p>
            <w:r>
              <w:rPr>
                <w:rFonts w:ascii="Calibri" w:hAnsi="Calibri"/>
                <w:color w:val="333333"/>
                <w:sz w:val="18"/>
              </w:rPr>
              <w:t>01 Oct 2025</w:t>
            </w:r>
          </w:p>
        </w:tc>
        <w:tc>
          <w:tcPr>
            <w:tcW w:type="dxa" w:w="2160"/>
            <w:shd w:fill="F2F6FA" w:val="clear"/>
          </w:tcPr>
          <w:p>
            <w:r>
              <w:rPr>
                <w:rFonts w:ascii="Calibri" w:hAnsi="Calibri"/>
                <w:color w:val="333333"/>
                <w:sz w:val="18"/>
              </w:rPr>
              <w:t>HR</w:t>
            </w:r>
          </w:p>
        </w:tc>
        <w:tc>
          <w:tcPr>
            <w:tcW w:type="dxa" w:w="4320"/>
            <w:shd w:fill="F2F6FA" w:val="clear"/>
          </w:tcPr>
          <w:p>
            <w:r>
              <w:rPr>
                <w:rFonts w:ascii="Calibri" w:hAnsi="Calibri"/>
                <w:color w:val="333333"/>
                <w:sz w:val="18"/>
              </w:rPr>
              <w:t>Added global variations</w:t>
            </w:r>
          </w:p>
        </w:tc>
      </w:tr>
      <w:tr>
        <w:tc>
          <w:tcPr>
            <w:tcW w:type="dxa" w:w="1152"/>
          </w:tcPr>
          <w:p>
            <w:r>
              <w:rPr>
                <w:rFonts w:ascii="Calibri" w:hAnsi="Calibri"/>
                <w:color w:val="333333"/>
                <w:sz w:val="18"/>
              </w:rPr>
              <w:t>2.3</w:t>
            </w:r>
          </w:p>
        </w:tc>
        <w:tc>
          <w:tcPr>
            <w:tcW w:type="dxa" w:w="1872"/>
          </w:tcPr>
          <w:p>
            <w:r>
              <w:rPr>
                <w:rFonts w:ascii="Calibri" w:hAnsi="Calibri"/>
                <w:color w:val="333333"/>
                <w:sz w:val="18"/>
              </w:rPr>
              <w:t>01 Apr 2026</w:t>
            </w:r>
          </w:p>
        </w:tc>
        <w:tc>
          <w:tcPr>
            <w:tcW w:type="dxa" w:w="2160"/>
          </w:tcPr>
          <w:p>
            <w:r>
              <w:rPr>
                <w:rFonts w:ascii="Calibri" w:hAnsi="Calibri"/>
                <w:color w:val="333333"/>
                <w:sz w:val="18"/>
              </w:rPr>
              <w:t>VP Human Resources</w:t>
            </w:r>
          </w:p>
        </w:tc>
        <w:tc>
          <w:tcPr>
            <w:tcW w:type="dxa" w:w="4320"/>
          </w:tcPr>
          <w:p>
            <w:r>
              <w:rPr>
                <w:rFonts w:ascii="Calibri" w:hAnsi="Calibri"/>
                <w:color w:val="333333"/>
                <w:sz w:val="18"/>
              </w:rPr>
              <w:t>Updated carry-forward limits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HR-003</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