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Performance Management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HR-009</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Human Resources</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HR-009</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Performance Management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Human Resources</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April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full-time employees across all global locations.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HR-003, HR-008, HR-010</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This policy outlines the performance management framework at Vistara Global Systems Pvt. Ltd.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 The performance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management remains robust and adaptive to dynamic market conditions. Vistara's footprint across India, Singapore, Dubai, London, and Austin requires standardized operational models to maintain enterprise resilience.</w:t>
      </w:r>
    </w:p>
    <w:p>
      <w:pPr>
        <w:pStyle w:val="Heading1"/>
      </w:pPr>
      <w:r>
        <w:t>2. Goal Setting (SMART Framework)</w:t>
      </w:r>
    </w:p>
    <w:p>
      <w:pPr/>
      <w:r>
        <w:t>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 The goal setting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setting remains robust and adaptive to dynamic market conditions. Vistara's footprint across India, Singapore, Dubai, London, and Austin requires standardized operational models to maintain enterprise resilience.</w:t>
      </w:r>
    </w:p>
    <w:p>
      <w:pPr>
        <w:pStyle w:val="ListBullet"/>
      </w:pPr>
      <w:r>
        <w:t>Specific: Goals must be clear and unambiguous.</w:t>
      </w:r>
    </w:p>
    <w:p>
      <w:pPr>
        <w:pStyle w:val="ListBullet"/>
      </w:pPr>
      <w:r>
        <w:t>Measurable: Goals must have quantifiable indicators of success.</w:t>
      </w:r>
    </w:p>
    <w:p>
      <w:pPr>
        <w:pStyle w:val="ListBullet"/>
      </w:pPr>
      <w:r>
        <w:t>Achievable: Goals must be realistic given available resources.</w:t>
      </w:r>
    </w:p>
    <w:p>
      <w:pPr>
        <w:pStyle w:val="ListBullet"/>
      </w:pPr>
      <w:r>
        <w:t>Relevant: Goals must align with company OKRs.</w:t>
      </w:r>
    </w:p>
    <w:p>
      <w:pPr>
        <w:pStyle w:val="ListBullet"/>
      </w:pPr>
      <w:r>
        <w:t>Time-bound: Goals must have defined deadlines.</w:t>
      </w:r>
    </w:p>
    <w:p>
      <w:pPr/>
      <w:r>
        <w:t>Employees must set 3-5 goals per cycle, strictly aligned to company OKRs.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 The goal alignment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goal alignment remains robust and adaptive to dynamic market conditions. Vistara's footprint across India, Singapore, Dubai, London, and Austin requires standardized operational models to maintain enterprise resilience.</w:t>
      </w:r>
    </w:p>
    <w:p>
      <w:pPr>
        <w:pStyle w:val="Heading1"/>
      </w:pPr>
      <w:r>
        <w:t>3. Performance Review Cycles</w:t>
      </w:r>
    </w:p>
    <w:p>
      <w:pPr/>
      <w:r>
        <w:t>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 The performance review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performance review remains robust and adaptive to dynamic market conditions. Vistara's footprint across India, Singapore, Dubai, London, and Austin requires standardized operational models to maintain enterprise resilience.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Cycle Phase</w:t>
            </w:r>
          </w:p>
        </w:tc>
        <w:tc>
          <w:tcPr>
            <w:tcW w:type="dxa" w:w="3120"/>
            <w:shd w:fill="1B3A5C" w:val="clear"/>
          </w:tcPr>
          <w:p>
            <w:pPr>
              <w:jc w:val="center"/>
            </w:pPr>
            <w:r>
              <w:rPr>
                <w:rFonts w:ascii="Calibri" w:hAnsi="Calibri"/>
                <w:b/>
                <w:color w:val="FFFFFF"/>
                <w:sz w:val="20"/>
              </w:rPr>
              <w:t>Timeline</w:t>
            </w:r>
          </w:p>
        </w:tc>
        <w:tc>
          <w:tcPr>
            <w:tcW w:type="dxa" w:w="3120"/>
            <w:shd w:fill="1B3A5C" w:val="clear"/>
          </w:tcPr>
          <w:p>
            <w:pPr>
              <w:jc w:val="center"/>
            </w:pPr>
            <w:r>
              <w:rPr>
                <w:rFonts w:ascii="Calibri" w:hAnsi="Calibri"/>
                <w:b/>
                <w:color w:val="FFFFFF"/>
                <w:sz w:val="20"/>
              </w:rPr>
              <w:t>Description</w:t>
            </w:r>
          </w:p>
        </w:tc>
      </w:tr>
      <w:tr>
        <w:tc>
          <w:tcPr>
            <w:tcW w:type="dxa" w:w="3120"/>
          </w:tcPr>
          <w:p>
            <w:r>
              <w:rPr>
                <w:rFonts w:ascii="Calibri" w:hAnsi="Calibri"/>
                <w:color w:val="333333"/>
                <w:sz w:val="18"/>
              </w:rPr>
              <w:t>H1 Review</w:t>
            </w:r>
          </w:p>
        </w:tc>
        <w:tc>
          <w:tcPr>
            <w:tcW w:type="dxa" w:w="3120"/>
          </w:tcPr>
          <w:p>
            <w:r>
              <w:rPr>
                <w:rFonts w:ascii="Calibri" w:hAnsi="Calibri"/>
                <w:color w:val="333333"/>
                <w:sz w:val="18"/>
              </w:rPr>
              <w:t>April - September</w:t>
            </w:r>
          </w:p>
        </w:tc>
        <w:tc>
          <w:tcPr>
            <w:tcW w:type="dxa" w:w="3120"/>
          </w:tcPr>
          <w:p>
            <w:r>
              <w:rPr>
                <w:rFonts w:ascii="Calibri" w:hAnsi="Calibri"/>
                <w:color w:val="333333"/>
                <w:sz w:val="18"/>
              </w:rPr>
              <w:t>Mid-year check-in and alignment calibration.</w:t>
            </w:r>
          </w:p>
        </w:tc>
      </w:tr>
      <w:tr>
        <w:tc>
          <w:tcPr>
            <w:tcW w:type="dxa" w:w="3120"/>
            <w:shd w:fill="F2F6FA" w:val="clear"/>
          </w:tcPr>
          <w:p>
            <w:r>
              <w:rPr>
                <w:rFonts w:ascii="Calibri" w:hAnsi="Calibri"/>
                <w:color w:val="333333"/>
                <w:sz w:val="18"/>
              </w:rPr>
              <w:t>H2 Review</w:t>
            </w:r>
          </w:p>
        </w:tc>
        <w:tc>
          <w:tcPr>
            <w:tcW w:type="dxa" w:w="3120"/>
            <w:shd w:fill="F2F6FA" w:val="clear"/>
          </w:tcPr>
          <w:p>
            <w:r>
              <w:rPr>
                <w:rFonts w:ascii="Calibri" w:hAnsi="Calibri"/>
                <w:color w:val="333333"/>
                <w:sz w:val="18"/>
              </w:rPr>
              <w:t>October - March</w:t>
            </w:r>
          </w:p>
        </w:tc>
        <w:tc>
          <w:tcPr>
            <w:tcW w:type="dxa" w:w="3120"/>
            <w:shd w:fill="F2F6FA" w:val="clear"/>
          </w:tcPr>
          <w:p>
            <w:r>
              <w:rPr>
                <w:rFonts w:ascii="Calibri" w:hAnsi="Calibri"/>
                <w:color w:val="333333"/>
                <w:sz w:val="18"/>
              </w:rPr>
              <w:t>Year-end comprehensive evaluation.</w:t>
            </w:r>
          </w:p>
        </w:tc>
      </w:tr>
      <w:tr>
        <w:tc>
          <w:tcPr>
            <w:tcW w:type="dxa" w:w="3120"/>
          </w:tcPr>
          <w:p>
            <w:r>
              <w:rPr>
                <w:rFonts w:ascii="Calibri" w:hAnsi="Calibri"/>
                <w:color w:val="333333"/>
                <w:sz w:val="18"/>
              </w:rPr>
              <w:t>Annual Summary</w:t>
            </w:r>
          </w:p>
        </w:tc>
        <w:tc>
          <w:tcPr>
            <w:tcW w:type="dxa" w:w="3120"/>
          </w:tcPr>
          <w:p>
            <w:r>
              <w:rPr>
                <w:rFonts w:ascii="Calibri" w:hAnsi="Calibri"/>
                <w:color w:val="333333"/>
                <w:sz w:val="18"/>
              </w:rPr>
              <w:t>April</w:t>
            </w:r>
          </w:p>
        </w:tc>
        <w:tc>
          <w:tcPr>
            <w:tcW w:type="dxa" w:w="3120"/>
          </w:tcPr>
          <w:p>
            <w:r>
              <w:rPr>
                <w:rFonts w:ascii="Calibri" w:hAnsi="Calibri"/>
                <w:color w:val="333333"/>
                <w:sz w:val="18"/>
              </w:rPr>
              <w:t>Final rating and compensation review.</w:t>
            </w:r>
          </w:p>
        </w:tc>
      </w:tr>
    </w:tbl>
    <w:p/>
    <w:p>
      <w:pPr/>
      <w:r>
        <w:t>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 The cycle phases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cycle phases remains robust and adaptive to dynamic market conditions. Vistara's footprint across India, Singapore, Dubai, London, and Austin requires standardized operational models to maintain enterprise resilience.</w:t>
      </w:r>
    </w:p>
    <w:p>
      <w:pPr>
        <w:pStyle w:val="Heading1"/>
      </w:pPr>
      <w:r>
        <w:t>4. Mid-Cycle Check-Ins</w:t>
      </w:r>
    </w:p>
    <w:p>
      <w:pPr/>
      <w:r>
        <w:t>Monthly 1:1s are strictly required between managers and their direct reports.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 The check-ins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check-ins remains robust and adaptive to dynamic market conditions. Vistara's footprint across India, Singapore, Dubai, London, and Austin requires standardized operational models to maintain enterprise resilience.</w:t>
      </w:r>
    </w:p>
    <w:p>
      <w:pPr>
        <w:pStyle w:val="Heading1"/>
      </w:pPr>
      <w:r>
        <w:t>5. Ratings Methodology</w:t>
      </w:r>
    </w:p>
    <w:p>
      <w:pPr/>
      <w:r>
        <w:t>Vistara Global Systems uses a 5-point scale. Ratings distribution guidance ensures fair evaluation without forced ranking.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 The ratings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ratings remains robust and adaptive to dynamic market conditions. Vistara's footprint across India, Singapore, Dubai, London, and Austin requires standardized operational models to maintain enterprise resilience.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Rating</w:t>
            </w:r>
          </w:p>
        </w:tc>
        <w:tc>
          <w:tcPr>
            <w:tcW w:type="dxa" w:w="3120"/>
            <w:shd w:fill="1B3A5C" w:val="clear"/>
          </w:tcPr>
          <w:p>
            <w:pPr>
              <w:jc w:val="center"/>
            </w:pPr>
            <w:r>
              <w:rPr>
                <w:rFonts w:ascii="Calibri" w:hAnsi="Calibri"/>
                <w:b/>
                <w:color w:val="FFFFFF"/>
                <w:sz w:val="20"/>
              </w:rPr>
              <w:t>Description</w:t>
            </w:r>
          </w:p>
        </w:tc>
        <w:tc>
          <w:tcPr>
            <w:tcW w:type="dxa" w:w="3120"/>
            <w:shd w:fill="1B3A5C" w:val="clear"/>
          </w:tcPr>
          <w:p>
            <w:pPr>
              <w:jc w:val="center"/>
            </w:pPr>
            <w:r>
              <w:rPr>
                <w:rFonts w:ascii="Calibri" w:hAnsi="Calibri"/>
                <w:b/>
                <w:color w:val="FFFFFF"/>
                <w:sz w:val="20"/>
              </w:rPr>
              <w:t>Guidance (%)</w:t>
            </w:r>
          </w:p>
        </w:tc>
      </w:tr>
      <w:tr>
        <w:tc>
          <w:tcPr>
            <w:tcW w:type="dxa" w:w="3120"/>
          </w:tcPr>
          <w:p>
            <w:r>
              <w:rPr>
                <w:rFonts w:ascii="Calibri" w:hAnsi="Calibri"/>
                <w:color w:val="333333"/>
                <w:sz w:val="18"/>
              </w:rPr>
              <w:t>Exceptional</w:t>
            </w:r>
          </w:p>
        </w:tc>
        <w:tc>
          <w:tcPr>
            <w:tcW w:type="dxa" w:w="3120"/>
          </w:tcPr>
          <w:p>
            <w:r>
              <w:rPr>
                <w:rFonts w:ascii="Calibri" w:hAnsi="Calibri"/>
                <w:color w:val="333333"/>
                <w:sz w:val="18"/>
              </w:rPr>
              <w:t>Consistently surpasses all expectations and goals.</w:t>
            </w:r>
          </w:p>
        </w:tc>
        <w:tc>
          <w:tcPr>
            <w:tcW w:type="dxa" w:w="3120"/>
          </w:tcPr>
          <w:p>
            <w:r>
              <w:rPr>
                <w:rFonts w:ascii="Calibri" w:hAnsi="Calibri"/>
                <w:color w:val="333333"/>
                <w:sz w:val="18"/>
              </w:rPr>
              <w:t>5-10%</w:t>
            </w:r>
          </w:p>
        </w:tc>
      </w:tr>
      <w:tr>
        <w:tc>
          <w:tcPr>
            <w:tcW w:type="dxa" w:w="3120"/>
            <w:shd w:fill="F2F6FA" w:val="clear"/>
          </w:tcPr>
          <w:p>
            <w:r>
              <w:rPr>
                <w:rFonts w:ascii="Calibri" w:hAnsi="Calibri"/>
                <w:color w:val="333333"/>
                <w:sz w:val="18"/>
              </w:rPr>
              <w:t>Exceeds Expectations</w:t>
            </w:r>
          </w:p>
        </w:tc>
        <w:tc>
          <w:tcPr>
            <w:tcW w:type="dxa" w:w="3120"/>
            <w:shd w:fill="F2F6FA" w:val="clear"/>
          </w:tcPr>
          <w:p>
            <w:r>
              <w:rPr>
                <w:rFonts w:ascii="Calibri" w:hAnsi="Calibri"/>
                <w:color w:val="333333"/>
                <w:sz w:val="18"/>
              </w:rPr>
              <w:t>Frequently exceeds goals and demonstrates high impact.</w:t>
            </w:r>
          </w:p>
        </w:tc>
        <w:tc>
          <w:tcPr>
            <w:tcW w:type="dxa" w:w="3120"/>
            <w:shd w:fill="F2F6FA" w:val="clear"/>
          </w:tcPr>
          <w:p>
            <w:r>
              <w:rPr>
                <w:rFonts w:ascii="Calibri" w:hAnsi="Calibri"/>
                <w:color w:val="333333"/>
                <w:sz w:val="18"/>
              </w:rPr>
              <w:t>20-25%</w:t>
            </w:r>
          </w:p>
        </w:tc>
      </w:tr>
      <w:tr>
        <w:tc>
          <w:tcPr>
            <w:tcW w:type="dxa" w:w="3120"/>
          </w:tcPr>
          <w:p>
            <w:r>
              <w:rPr>
                <w:rFonts w:ascii="Calibri" w:hAnsi="Calibri"/>
                <w:color w:val="333333"/>
                <w:sz w:val="18"/>
              </w:rPr>
              <w:t>Meets Expectations</w:t>
            </w:r>
          </w:p>
        </w:tc>
        <w:tc>
          <w:tcPr>
            <w:tcW w:type="dxa" w:w="3120"/>
          </w:tcPr>
          <w:p>
            <w:r>
              <w:rPr>
                <w:rFonts w:ascii="Calibri" w:hAnsi="Calibri"/>
                <w:color w:val="333333"/>
                <w:sz w:val="18"/>
              </w:rPr>
              <w:t>Successfully meets all requirements and goals.</w:t>
            </w:r>
          </w:p>
        </w:tc>
        <w:tc>
          <w:tcPr>
            <w:tcW w:type="dxa" w:w="3120"/>
          </w:tcPr>
          <w:p>
            <w:r>
              <w:rPr>
                <w:rFonts w:ascii="Calibri" w:hAnsi="Calibri"/>
                <w:color w:val="333333"/>
                <w:sz w:val="18"/>
              </w:rPr>
              <w:t>50-60%</w:t>
            </w:r>
          </w:p>
        </w:tc>
      </w:tr>
      <w:tr>
        <w:tc>
          <w:tcPr>
            <w:tcW w:type="dxa" w:w="3120"/>
            <w:shd w:fill="F2F6FA" w:val="clear"/>
          </w:tcPr>
          <w:p>
            <w:r>
              <w:rPr>
                <w:rFonts w:ascii="Calibri" w:hAnsi="Calibri"/>
                <w:color w:val="333333"/>
                <w:sz w:val="18"/>
              </w:rPr>
              <w:t>Needs Improvement</w:t>
            </w:r>
          </w:p>
        </w:tc>
        <w:tc>
          <w:tcPr>
            <w:tcW w:type="dxa" w:w="3120"/>
            <w:shd w:fill="F2F6FA" w:val="clear"/>
          </w:tcPr>
          <w:p>
            <w:r>
              <w:rPr>
                <w:rFonts w:ascii="Calibri" w:hAnsi="Calibri"/>
                <w:color w:val="333333"/>
                <w:sz w:val="18"/>
              </w:rPr>
              <w:t>Inconsistently meets goals; requires development.</w:t>
            </w:r>
          </w:p>
        </w:tc>
        <w:tc>
          <w:tcPr>
            <w:tcW w:type="dxa" w:w="3120"/>
            <w:shd w:fill="F2F6FA" w:val="clear"/>
          </w:tcPr>
          <w:p>
            <w:r>
              <w:rPr>
                <w:rFonts w:ascii="Calibri" w:hAnsi="Calibri"/>
                <w:color w:val="333333"/>
                <w:sz w:val="18"/>
              </w:rPr>
              <w:t>5-10%</w:t>
            </w:r>
          </w:p>
        </w:tc>
      </w:tr>
      <w:tr>
        <w:tc>
          <w:tcPr>
            <w:tcW w:type="dxa" w:w="3120"/>
          </w:tcPr>
          <w:p>
            <w:r>
              <w:rPr>
                <w:rFonts w:ascii="Calibri" w:hAnsi="Calibri"/>
                <w:color w:val="333333"/>
                <w:sz w:val="18"/>
              </w:rPr>
              <w:t>Unsatisfactory</w:t>
            </w:r>
          </w:p>
        </w:tc>
        <w:tc>
          <w:tcPr>
            <w:tcW w:type="dxa" w:w="3120"/>
          </w:tcPr>
          <w:p>
            <w:r>
              <w:rPr>
                <w:rFonts w:ascii="Calibri" w:hAnsi="Calibri"/>
                <w:color w:val="333333"/>
                <w:sz w:val="18"/>
              </w:rPr>
              <w:t>Fails to meet basic expectations.</w:t>
            </w:r>
          </w:p>
        </w:tc>
        <w:tc>
          <w:tcPr>
            <w:tcW w:type="dxa" w:w="3120"/>
          </w:tcPr>
          <w:p>
            <w:r>
              <w:rPr>
                <w:rFonts w:ascii="Calibri" w:hAnsi="Calibri"/>
                <w:color w:val="333333"/>
                <w:sz w:val="18"/>
              </w:rPr>
              <w:t>2-5%</w:t>
            </w:r>
          </w:p>
        </w:tc>
      </w:tr>
    </w:tbl>
    <w:p/>
    <w:p>
      <w:pPr>
        <w:pStyle w:val="Heading1"/>
      </w:pPr>
      <w:r>
        <w:t>6. Calibration Process</w:t>
      </w:r>
    </w:p>
    <w:p>
      <w:pPr/>
      <w:r>
        <w:t>The calibration process is conducted at the department level and chaired by the respective VP.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 The calibration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calibration remains robust and adaptive to dynamic market conditions. Vistara's footprint across India, Singapore, Dubai, London, and Austin requires standardized operational models to maintain enterprise resilience.</w:t>
      </w:r>
    </w:p>
    <w:p>
      <w:pPr>
        <w:pStyle w:val="Heading1"/>
      </w:pPr>
      <w:r>
        <w:t>7. Feedback Mechanisms</w:t>
      </w:r>
    </w:p>
    <w:p>
      <w:pPr/>
      <w:r>
        <w:t>360-degree feedback is mandatory for all managers. Peer feedback is encouraged for all employees.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 The feedback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feedback remains robust and adaptive to dynamic market conditions. Vistara's footprint across India, Singapore, Dubai, London, and Austin requires standardized operational models to maintain enterprise resilience.</w:t>
      </w:r>
    </w:p>
    <w:p>
      <w:pPr>
        <w:pStyle w:val="Heading1"/>
      </w:pPr>
      <w:r>
        <w:t>8. Performance Improvement Plans (PIP)</w:t>
      </w:r>
    </w:p>
    <w:p>
      <w:pPr/>
      <w:r>
        <w:t>PIPs are designed to support employees struggling to meet expectations.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 The PIP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PIP remains robust and adaptive to dynamic market conditions. Vistara's footprint across India, Singapore, Dubai, London, and Austin requires standardized operational models to maintain enterprise resilience.</w:t>
      </w:r>
    </w:p>
    <w:p>
      <w:pPr>
        <w:pStyle w:val="ListBullet"/>
      </w:pPr>
      <w:r>
        <w:t>Duration: 60 days.</w:t>
      </w:r>
    </w:p>
    <w:p>
      <w:pPr>
        <w:pStyle w:val="ListBullet"/>
      </w:pPr>
      <w:r>
        <w:t>Check-ins: Bi-weekly mandatory review sessions.</w:t>
      </w:r>
    </w:p>
    <w:p>
      <w:pPr>
        <w:pStyle w:val="ListBullet"/>
      </w:pPr>
      <w:r>
        <w:t>Documentation: Must be fully tracked in the HRMS.</w:t>
      </w:r>
    </w:p>
    <w:p>
      <w:pPr/>
      <w:r>
        <w:t>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 The improvement planning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improvement planning remains robust and adaptive to dynamic market conditions. Vistara's footprint across India, Singapore, Dubai, London, and Austin requires standardized operational models to maintain enterprise resilience.</w:t>
      </w:r>
    </w:p>
    <w:p>
      <w:pPr>
        <w:pStyle w:val="Heading1"/>
      </w:pPr>
      <w:r>
        <w:t>9. Promotions Process</w:t>
      </w:r>
    </w:p>
    <w:p>
      <w:pPr/>
      <w:r>
        <w:t>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 The promotions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promotions remains robust and adaptive to dynamic market conditions. Vistara's footprint across India, Singapore, Dubai, London, and Austin requires standardized operational models to maintain enterprise resilience.</w:t>
      </w:r>
    </w:p>
    <w:p>
      <w:pPr>
        <w:pStyle w:val="Heading1"/>
      </w:pPr>
      <w:r>
        <w:t>10. Roles and Responsibilities</w:t>
      </w:r>
    </w:p>
    <w:p>
      <w:pPr/>
      <w:r>
        <w:t>Manager Responsibilities: Ensure continuous feedback, conduct monthly 1:1s, support development.</w:t>
        <w:br/>
        <w:t>Employee Responsibilities: Proactively manage goals, seek feedback, self-evaluate accurately.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 The responsibilities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responsibilities remains robust and adaptive to dynamic market conditions. Vistara's footprint across India, Singapore, Dubai, London, and Austin requires standardized operational models to maintain enterprise resilience.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B3A5C" w:val="clear"/>
          </w:tcPr>
          <w:p>
            <w:pPr>
              <w:jc w:val="center"/>
            </w:pPr>
            <w:r>
              <w:rPr>
                <w:rFonts w:ascii="Calibri" w:hAnsi="Calibri"/>
                <w:b/>
                <w:color w:val="FFFFFF"/>
                <w:sz w:val="20"/>
              </w:rPr>
              <w:t>Task</w:t>
            </w:r>
          </w:p>
        </w:tc>
        <w:tc>
          <w:tcPr>
            <w:tcW w:type="dxa" w:w="1872"/>
            <w:shd w:fill="1B3A5C" w:val="clear"/>
          </w:tcPr>
          <w:p>
            <w:pPr>
              <w:jc w:val="center"/>
            </w:pPr>
            <w:r>
              <w:rPr>
                <w:rFonts w:ascii="Calibri" w:hAnsi="Calibri"/>
                <w:b/>
                <w:color w:val="FFFFFF"/>
                <w:sz w:val="20"/>
              </w:rPr>
              <w:t>Responsible</w:t>
            </w:r>
          </w:p>
        </w:tc>
        <w:tc>
          <w:tcPr>
            <w:tcW w:type="dxa" w:w="1872"/>
            <w:shd w:fill="1B3A5C" w:val="clear"/>
          </w:tcPr>
          <w:p>
            <w:pPr>
              <w:jc w:val="center"/>
            </w:pPr>
            <w:r>
              <w:rPr>
                <w:rFonts w:ascii="Calibri" w:hAnsi="Calibri"/>
                <w:b/>
                <w:color w:val="FFFFFF"/>
                <w:sz w:val="20"/>
              </w:rPr>
              <w:t>Accountable</w:t>
            </w:r>
          </w:p>
        </w:tc>
        <w:tc>
          <w:tcPr>
            <w:tcW w:type="dxa" w:w="1872"/>
            <w:shd w:fill="1B3A5C" w:val="clear"/>
          </w:tcPr>
          <w:p>
            <w:pPr>
              <w:jc w:val="center"/>
            </w:pPr>
            <w:r>
              <w:rPr>
                <w:rFonts w:ascii="Calibri" w:hAnsi="Calibri"/>
                <w:b/>
                <w:color w:val="FFFFFF"/>
                <w:sz w:val="20"/>
              </w:rPr>
              <w:t>Consulted</w:t>
            </w:r>
          </w:p>
        </w:tc>
        <w:tc>
          <w:tcPr>
            <w:tcW w:type="dxa" w:w="1872"/>
            <w:shd w:fill="1B3A5C" w:val="clear"/>
          </w:tcPr>
          <w:p>
            <w:pPr>
              <w:jc w:val="center"/>
            </w:pPr>
            <w:r>
              <w:rPr>
                <w:rFonts w:ascii="Calibri" w:hAnsi="Calibri"/>
                <w:b/>
                <w:color w:val="FFFFFF"/>
                <w:sz w:val="20"/>
              </w:rPr>
              <w:t>Informed</w:t>
            </w:r>
          </w:p>
        </w:tc>
      </w:tr>
      <w:tr>
        <w:tc>
          <w:tcPr>
            <w:tcW w:type="dxa" w:w="1872"/>
          </w:tcPr>
          <w:p>
            <w:r>
              <w:rPr>
                <w:rFonts w:ascii="Calibri" w:hAnsi="Calibri"/>
                <w:color w:val="333333"/>
                <w:sz w:val="18"/>
              </w:rPr>
              <w:t>Goal Setting</w:t>
            </w:r>
          </w:p>
        </w:tc>
        <w:tc>
          <w:tcPr>
            <w:tcW w:type="dxa" w:w="1872"/>
          </w:tcPr>
          <w:p>
            <w:r>
              <w:rPr>
                <w:rFonts w:ascii="Calibri" w:hAnsi="Calibri"/>
                <w:color w:val="333333"/>
                <w:sz w:val="18"/>
              </w:rPr>
              <w:t>Employee</w:t>
            </w:r>
          </w:p>
        </w:tc>
        <w:tc>
          <w:tcPr>
            <w:tcW w:type="dxa" w:w="1872"/>
          </w:tcPr>
          <w:p>
            <w:r>
              <w:rPr>
                <w:rFonts w:ascii="Calibri" w:hAnsi="Calibri"/>
                <w:color w:val="333333"/>
                <w:sz w:val="18"/>
              </w:rPr>
              <w:t>Manager</w:t>
            </w:r>
          </w:p>
        </w:tc>
        <w:tc>
          <w:tcPr>
            <w:tcW w:type="dxa" w:w="1872"/>
          </w:tcPr>
          <w:p>
            <w:r>
              <w:rPr>
                <w:rFonts w:ascii="Calibri" w:hAnsi="Calibri"/>
                <w:color w:val="333333"/>
                <w:sz w:val="18"/>
              </w:rPr>
              <w:t>HR</w:t>
            </w:r>
          </w:p>
        </w:tc>
        <w:tc>
          <w:tcPr>
            <w:tcW w:type="dxa" w:w="1872"/>
          </w:tcPr>
          <w:p>
            <w:r>
              <w:rPr>
                <w:rFonts w:ascii="Calibri" w:hAnsi="Calibri"/>
                <w:color w:val="333333"/>
                <w:sz w:val="18"/>
              </w:rPr>
              <w:t>Dept Head</w:t>
            </w:r>
          </w:p>
        </w:tc>
      </w:tr>
      <w:tr>
        <w:tc>
          <w:tcPr>
            <w:tcW w:type="dxa" w:w="1872"/>
            <w:shd w:fill="F2F6FA" w:val="clear"/>
          </w:tcPr>
          <w:p>
            <w:r>
              <w:rPr>
                <w:rFonts w:ascii="Calibri" w:hAnsi="Calibri"/>
                <w:color w:val="333333"/>
                <w:sz w:val="18"/>
              </w:rPr>
              <w:t>Mid-Year Review</w:t>
            </w:r>
          </w:p>
        </w:tc>
        <w:tc>
          <w:tcPr>
            <w:tcW w:type="dxa" w:w="1872"/>
            <w:shd w:fill="F2F6FA" w:val="clear"/>
          </w:tcPr>
          <w:p>
            <w:r>
              <w:rPr>
                <w:rFonts w:ascii="Calibri" w:hAnsi="Calibri"/>
                <w:color w:val="333333"/>
                <w:sz w:val="18"/>
              </w:rPr>
              <w:t>Manager</w:t>
            </w:r>
          </w:p>
        </w:tc>
        <w:tc>
          <w:tcPr>
            <w:tcW w:type="dxa" w:w="1872"/>
            <w:shd w:fill="F2F6FA" w:val="clear"/>
          </w:tcPr>
          <w:p>
            <w:r>
              <w:rPr>
                <w:rFonts w:ascii="Calibri" w:hAnsi="Calibri"/>
                <w:color w:val="333333"/>
                <w:sz w:val="18"/>
              </w:rPr>
              <w:t>Dept Head</w:t>
            </w:r>
          </w:p>
        </w:tc>
        <w:tc>
          <w:tcPr>
            <w:tcW w:type="dxa" w:w="1872"/>
            <w:shd w:fill="F2F6FA" w:val="clear"/>
          </w:tcPr>
          <w:p>
            <w:r>
              <w:rPr>
                <w:rFonts w:ascii="Calibri" w:hAnsi="Calibri"/>
                <w:color w:val="333333"/>
                <w:sz w:val="18"/>
              </w:rPr>
              <w:t>HR</w:t>
            </w:r>
          </w:p>
        </w:tc>
        <w:tc>
          <w:tcPr>
            <w:tcW w:type="dxa" w:w="1872"/>
            <w:shd w:fill="F2F6FA" w:val="clear"/>
          </w:tcPr>
          <w:p>
            <w:r>
              <w:rPr>
                <w:rFonts w:ascii="Calibri" w:hAnsi="Calibri"/>
                <w:color w:val="333333"/>
                <w:sz w:val="18"/>
              </w:rPr>
              <w:t>Employee</w:t>
            </w:r>
          </w:p>
        </w:tc>
      </w:tr>
      <w:tr>
        <w:tc>
          <w:tcPr>
            <w:tcW w:type="dxa" w:w="1872"/>
          </w:tcPr>
          <w:p>
            <w:r>
              <w:rPr>
                <w:rFonts w:ascii="Calibri" w:hAnsi="Calibri"/>
                <w:color w:val="333333"/>
                <w:sz w:val="18"/>
              </w:rPr>
              <w:t>Final Calibration</w:t>
            </w:r>
          </w:p>
        </w:tc>
        <w:tc>
          <w:tcPr>
            <w:tcW w:type="dxa" w:w="1872"/>
          </w:tcPr>
          <w:p>
            <w:r>
              <w:rPr>
                <w:rFonts w:ascii="Calibri" w:hAnsi="Calibri"/>
                <w:color w:val="333333"/>
                <w:sz w:val="18"/>
              </w:rPr>
              <w:t>VP</w:t>
            </w:r>
          </w:p>
        </w:tc>
        <w:tc>
          <w:tcPr>
            <w:tcW w:type="dxa" w:w="1872"/>
          </w:tcPr>
          <w:p>
            <w:r>
              <w:rPr>
                <w:rFonts w:ascii="Calibri" w:hAnsi="Calibri"/>
                <w:color w:val="333333"/>
                <w:sz w:val="18"/>
              </w:rPr>
              <w:t>VP</w:t>
            </w:r>
          </w:p>
        </w:tc>
        <w:tc>
          <w:tcPr>
            <w:tcW w:type="dxa" w:w="1872"/>
          </w:tcPr>
          <w:p>
            <w:r>
              <w:rPr>
                <w:rFonts w:ascii="Calibri" w:hAnsi="Calibri"/>
                <w:color w:val="333333"/>
                <w:sz w:val="18"/>
              </w:rPr>
              <w:t>Manager</w:t>
            </w:r>
          </w:p>
        </w:tc>
        <w:tc>
          <w:tcPr>
            <w:tcW w:type="dxa" w:w="1872"/>
          </w:tcPr>
          <w:p>
            <w:r>
              <w:rPr>
                <w:rFonts w:ascii="Calibri" w:hAnsi="Calibri"/>
                <w:color w:val="333333"/>
                <w:sz w:val="18"/>
              </w:rPr>
              <w:t>HR</w:t>
            </w:r>
          </w:p>
        </w:tc>
      </w:tr>
    </w:tbl>
    <w:p/>
    <w:p>
      <w:pPr>
        <w:pStyle w:val="Heading1"/>
      </w:pPr>
      <w:r>
        <w:t>11. Probation Reviews</w:t>
      </w:r>
    </w:p>
    <w:p>
      <w:pPr/>
      <w:r>
        <w:t>New hires are subject to 90-day and 180-day probation reviews.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 The probation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probation remains robust and adaptive to dynamic market conditions. Vistara's footprint across India, Singapore, Dubai, London, and Austin requires standardized operational models to maintain enterprise resilience.</w:t>
      </w:r>
    </w:p>
    <w:p>
      <w:pPr>
        <w:pStyle w:val="Heading1"/>
      </w:pPr>
      <w:r>
        <w:t>12. Scenarios</w:t>
      </w:r>
    </w:p>
    <w:p>
      <w:pPr>
        <w:pStyle w:val="Heading3"/>
      </w:pPr>
      <w:r>
        <w:t>Scenario 1: PIP Process</w:t>
      </w:r>
    </w:p>
    <w:p>
      <w:r>
        <w:rPr>
          <w:b/>
          <w:color w:val="1B3A5C"/>
        </w:rPr>
        <w:t xml:space="preserve">Situation: </w:t>
      </w:r>
      <w:r>
        <w:t>An employee receives a 'Needs Improvement' rating.</w:t>
      </w:r>
    </w:p>
    <w:p>
      <w:r>
        <w:rPr>
          <w:b/>
          <w:color w:val="1B3A5C"/>
        </w:rPr>
        <w:t xml:space="preserve">Relevant Requirements: </w:t>
      </w:r>
      <w:r>
        <w:t>Manager must initiate a PIP within 14 days.</w:t>
      </w:r>
    </w:p>
    <w:p>
      <w:r>
        <w:rPr>
          <w:b/>
          <w:color w:val="1B3A5C"/>
        </w:rPr>
        <w:t xml:space="preserve">Expected Process: </w:t>
      </w:r>
      <w:r>
        <w:t>Draft PIP, get HR approval, present to employee, track bi-weekly.</w:t>
      </w:r>
    </w:p>
    <w:p>
      <w:r>
        <w:rPr>
          <w:b/>
          <w:color w:val="1B3A5C"/>
        </w:rPr>
        <w:t xml:space="preserve">Outcome: </w:t>
      </w:r>
      <w:r>
        <w:t>Employee improves and graduates PIP, or transitions to termination.</w:t>
      </w:r>
    </w:p>
    <w:p/>
    <w:p>
      <w:pPr/>
      <w:r>
        <w:t>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 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 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w:t>
      </w:r>
    </w:p>
    <w:p>
      <w:pPr>
        <w:pStyle w:val="Heading3"/>
      </w:pPr>
      <w:r>
        <w:t>Scenario 2: PIP Process</w:t>
      </w:r>
    </w:p>
    <w:p>
      <w:r>
        <w:rPr>
          <w:b/>
          <w:color w:val="1B3A5C"/>
        </w:rPr>
        <w:t xml:space="preserve">Situation: </w:t>
      </w:r>
      <w:r>
        <w:t>An employee receives a 'Needs Improvement' rating.</w:t>
      </w:r>
    </w:p>
    <w:p>
      <w:r>
        <w:rPr>
          <w:b/>
          <w:color w:val="1B3A5C"/>
        </w:rPr>
        <w:t xml:space="preserve">Relevant Requirements: </w:t>
      </w:r>
      <w:r>
        <w:t>Manager must initiate a PIP within 14 days.</w:t>
      </w:r>
    </w:p>
    <w:p>
      <w:r>
        <w:rPr>
          <w:b/>
          <w:color w:val="1B3A5C"/>
        </w:rPr>
        <w:t xml:space="preserve">Expected Process: </w:t>
      </w:r>
      <w:r>
        <w:t>Draft PIP, get HR approval, present to employee, track bi-weekly.</w:t>
      </w:r>
    </w:p>
    <w:p>
      <w:r>
        <w:rPr>
          <w:b/>
          <w:color w:val="1B3A5C"/>
        </w:rPr>
        <w:t xml:space="preserve">Outcome: </w:t>
      </w:r>
      <w:r>
        <w:t>Employee improves and graduates PIP, or transitions to termination.</w:t>
      </w:r>
    </w:p>
    <w:p/>
    <w:p>
      <w:pPr/>
      <w:r>
        <w:t>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 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 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w:t>
      </w:r>
    </w:p>
    <w:p>
      <w:pPr>
        <w:pStyle w:val="Heading3"/>
      </w:pPr>
      <w:r>
        <w:t>Scenario 3: PIP Process</w:t>
      </w:r>
    </w:p>
    <w:p>
      <w:r>
        <w:rPr>
          <w:b/>
          <w:color w:val="1B3A5C"/>
        </w:rPr>
        <w:t xml:space="preserve">Situation: </w:t>
      </w:r>
      <w:r>
        <w:t>An employee receives a 'Needs Improvement' rating.</w:t>
      </w:r>
    </w:p>
    <w:p>
      <w:r>
        <w:rPr>
          <w:b/>
          <w:color w:val="1B3A5C"/>
        </w:rPr>
        <w:t xml:space="preserve">Relevant Requirements: </w:t>
      </w:r>
      <w:r>
        <w:t>Manager must initiate a PIP within 14 days.</w:t>
      </w:r>
    </w:p>
    <w:p>
      <w:r>
        <w:rPr>
          <w:b/>
          <w:color w:val="1B3A5C"/>
        </w:rPr>
        <w:t xml:space="preserve">Expected Process: </w:t>
      </w:r>
      <w:r>
        <w:t>Draft PIP, get HR approval, present to employee, track bi-weekly.</w:t>
      </w:r>
    </w:p>
    <w:p>
      <w:r>
        <w:rPr>
          <w:b/>
          <w:color w:val="1B3A5C"/>
        </w:rPr>
        <w:t xml:space="preserve">Outcome: </w:t>
      </w:r>
      <w:r>
        <w:t>Employee improves and graduates PIP, or transitions to termination.</w:t>
      </w:r>
    </w:p>
    <w:p/>
    <w:p>
      <w:pPr/>
      <w:r>
        <w:t>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 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 The scenario detail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detail remains robust and adaptive to dynamic market conditions. Vistara's footprint across India, Singapore, Dubai, London, and Austin requires standardized operational models to maintain enterprise resilience.</w:t>
      </w:r>
    </w:p>
    <w:p>
      <w:pPr>
        <w:pStyle w:val="Heading1"/>
      </w:pPr>
      <w:r>
        <w:t>13. Frequently Asked Questions (FAQ)</w:t>
      </w:r>
    </w:p>
    <w:p>
      <w:r>
        <w:rPr>
          <w:rFonts w:ascii="Calibri" w:hAnsi="Calibri"/>
          <w:b/>
          <w:color w:val="1B3A5C"/>
          <w:sz w:val="22"/>
        </w:rPr>
        <w:t>Q: What happens if I miss the goal setting deadline? (Q1)</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(Q2)</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(Q3)</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(Q4)</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(Q5)</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(Q6)</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(Q7)</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(Q8)</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(Q9)</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What happens if I miss the goal setting deadline? (Q10)</w:t>
      </w:r>
    </w:p>
    <w:p>
      <w:pPr>
        <w:spacing w:after="240"/>
      </w:pPr>
      <w:r>
        <w:rPr>
          <w:rFonts w:ascii="Calibri" w:hAnsi="Calibri"/>
          <w:color w:val="333333"/>
          <w:sz w:val="22"/>
        </w:rPr>
        <w:t>A: The HRMS will lock the goals section. You must request a manual override from your VP, which may impact your performance rating. The deadline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deadline remains robust and adaptive to dynamic market conditions. Vistara's footprint across India, Singapore, Dubai, London, and Austin requires standardized operational models to maintain enterprise resilience.</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2024</w:t>
            </w:r>
          </w:p>
        </w:tc>
        <w:tc>
          <w:tcPr>
            <w:tcW w:type="dxa" w:w="2160"/>
          </w:tcPr>
          <w:p>
            <w:r>
              <w:rPr>
                <w:rFonts w:ascii="Calibri" w:hAnsi="Calibri"/>
                <w:color w:val="333333"/>
                <w:sz w:val="18"/>
              </w:rPr>
              <w:t>HR Policy Team</w:t>
            </w:r>
          </w:p>
        </w:tc>
        <w:tc>
          <w:tcPr>
            <w:tcW w:type="dxa" w:w="4320"/>
          </w:tcPr>
          <w:p>
            <w:r>
              <w:rPr>
                <w:rFonts w:ascii="Calibri" w:hAnsi="Calibri"/>
                <w:color w:val="333333"/>
                <w:sz w:val="18"/>
              </w:rPr>
              <w:t>Initial draft.</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01 Oct 2025</w:t>
            </w:r>
          </w:p>
        </w:tc>
        <w:tc>
          <w:tcPr>
            <w:tcW w:type="dxa" w:w="2160"/>
            <w:shd w:fill="F2F6FA" w:val="clear"/>
          </w:tcPr>
          <w:p>
            <w:r>
              <w:rPr>
                <w:rFonts w:ascii="Calibri" w:hAnsi="Calibri"/>
                <w:color w:val="333333"/>
                <w:sz w:val="18"/>
              </w:rPr>
              <w:t>VP HR</w:t>
            </w:r>
          </w:p>
        </w:tc>
        <w:tc>
          <w:tcPr>
            <w:tcW w:type="dxa" w:w="4320"/>
            <w:shd w:fill="F2F6FA" w:val="clear"/>
          </w:tcPr>
          <w:p>
            <w:r>
              <w:rPr>
                <w:rFonts w:ascii="Calibri" w:hAnsi="Calibri"/>
                <w:color w:val="333333"/>
                <w:sz w:val="18"/>
              </w:rPr>
              <w:t>Updated ratings methodology.</w:t>
            </w:r>
          </w:p>
        </w:tc>
      </w:tr>
      <w:tr>
        <w:tc>
          <w:tcPr>
            <w:tcW w:type="dxa" w:w="1152"/>
          </w:tcPr>
          <w:p>
            <w:r>
              <w:rPr>
                <w:rFonts w:ascii="Calibri" w:hAnsi="Calibri"/>
                <w:color w:val="333333"/>
                <w:sz w:val="18"/>
              </w:rPr>
              <w:t>2.0</w:t>
            </w:r>
          </w:p>
        </w:tc>
        <w:tc>
          <w:tcPr>
            <w:tcW w:type="dxa" w:w="1872"/>
          </w:tcPr>
          <w:p>
            <w:r>
              <w:rPr>
                <w:rFonts w:ascii="Calibri" w:hAnsi="Calibri"/>
                <w:color w:val="333333"/>
                <w:sz w:val="18"/>
              </w:rPr>
              <w:t>01 Apr 2026</w:t>
            </w:r>
          </w:p>
        </w:tc>
        <w:tc>
          <w:tcPr>
            <w:tcW w:type="dxa" w:w="2160"/>
          </w:tcPr>
          <w:p>
            <w:r>
              <w:rPr>
                <w:rFonts w:ascii="Calibri" w:hAnsi="Calibri"/>
                <w:color w:val="333333"/>
                <w:sz w:val="18"/>
              </w:rPr>
              <w:t>VP HR</w:t>
            </w:r>
          </w:p>
        </w:tc>
        <w:tc>
          <w:tcPr>
            <w:tcW w:type="dxa" w:w="4320"/>
          </w:tcPr>
          <w:p>
            <w:r>
              <w:rPr>
                <w:rFonts w:ascii="Calibri" w:hAnsi="Calibri"/>
                <w:color w:val="333333"/>
                <w:sz w:val="18"/>
              </w:rPr>
              <w:t>Comprehensive overhaul including 360 feedback.</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HR-009</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