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Learning and Development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HR-010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HR-010</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Learning and Development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full-time employees; contractors (mandatory only).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HR-009, FIN-001, SEC-001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Eligibility</w:t>
      </w:r>
    </w:p>
    <w:p>
      <w:pPr/>
      <w:r>
        <w:t>This policy applies to all full-time employees. Contractors are eligible for mandatory training only.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 The L&amp;D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L&amp;D remains robust and adaptive to dynamic market conditions. Vistara's footprint across India, Singapore, Dubai, London, and Austin requires standardized operational models to maintain enterprise resilience.</w:t>
      </w:r>
    </w:p>
    <w:p>
      <w:pPr>
        <w:pStyle w:val="Heading1"/>
      </w:pPr>
      <w:r>
        <w:t>2. Mandatory Training</w:t>
      </w:r>
    </w:p>
    <w:p>
      <w:pPr/>
      <w:r>
        <w:t>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 The mandatory training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mandatory training remains robust and adaptive to dynamic market conditions. Vistara's footprint across India, Singapore, Dubai, London, and Austin requires standardized operational models to maintain enterprise resilience.</w:t>
      </w:r>
    </w:p>
    <w:p>
      <w:pPr>
        <w:pStyle w:val="ListBullet"/>
      </w:pPr>
      <w:r>
        <w:t>Security Awareness (SEC-001) - Annual</w:t>
      </w:r>
    </w:p>
    <w:p>
      <w:pPr>
        <w:pStyle w:val="ListBullet"/>
      </w:pPr>
      <w:r>
        <w:t>Code of Conduct - Annual</w:t>
      </w:r>
    </w:p>
    <w:p>
      <w:pPr>
        <w:pStyle w:val="ListBullet"/>
      </w:pPr>
      <w:r>
        <w:t>Anti-Harassment - Annual</w:t>
      </w:r>
    </w:p>
    <w:p>
      <w:pPr>
        <w:pStyle w:val="ListBullet"/>
      </w:pPr>
      <w:r>
        <w:t>Data Privacy - Annual</w:t>
      </w:r>
    </w:p>
    <w:p>
      <w:pPr>
        <w:pStyle w:val="Heading1"/>
      </w:pPr>
      <w:r>
        <w:t>3. Technical and Role-Specific Learning</w:t>
      </w:r>
    </w:p>
    <w:p>
      <w:pPr/>
      <w:r>
        <w:t>Subject to manager approval.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 The technical learning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technical learning remains robust and adaptive to dynamic market conditions. Vistara's footprint across India, Singapore, Dubai, London, and Austin requires standardized operational models to maintain enterprise resilience.</w:t>
      </w:r>
    </w:p>
    <w:p>
      <w:pPr>
        <w:pStyle w:val="Heading1"/>
      </w:pPr>
      <w:r>
        <w:t>4. Certifications and Budgets</w:t>
      </w:r>
    </w:p>
    <w:p>
      <w:pPr/>
      <w:r>
        <w:t>Company-sponsored up to ₹1,50,000/year for approved certifications. Includes a bond of 12 months. Learning budget is ₹50,000 per employee per year for conferences/courses.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 The budgets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budgets remains robust and adaptive to dynamic market conditions. Vistara's footprint across India, Singapore, Dubai, London, and Austin requires standardized operational models to maintain enterprise resilience.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Department</w:t>
            </w:r>
          </w:p>
        </w:tc>
        <w:tc>
          <w:tcPr>
            <w:tcW w:type="dxa" w:w="3120"/>
            <w:shd w:fill="1B3A5C" w:val="clear"/>
          </w:tcPr>
          <w:p>
            <w:pPr>
              <w:jc w:val="center"/>
            </w:pPr>
            <w:r>
              <w:rPr>
                <w:rFonts w:ascii="Calibri" w:hAnsi="Calibri"/>
                <w:b/>
                <w:color w:val="FFFFFF"/>
                <w:sz w:val="20"/>
              </w:rPr>
              <w:t>Approved Certifications</w:t>
            </w:r>
          </w:p>
        </w:tc>
        <w:tc>
          <w:tcPr>
            <w:tcW w:type="dxa" w:w="3120"/>
            <w:shd w:fill="1B3A5C" w:val="clear"/>
          </w:tcPr>
          <w:p>
            <w:pPr>
              <w:jc w:val="center"/>
            </w:pPr>
            <w:r>
              <w:rPr>
                <w:rFonts w:ascii="Calibri" w:hAnsi="Calibri"/>
                <w:b/>
                <w:color w:val="FFFFFF"/>
                <w:sz w:val="20"/>
              </w:rPr>
              <w:t>Max Budget</w:t>
            </w:r>
          </w:p>
        </w:tc>
      </w:tr>
      <w:tr>
        <w:tc>
          <w:tcPr>
            <w:tcW w:type="dxa" w:w="3120"/>
          </w:tcPr>
          <w:p>
            <w:r>
              <w:rPr>
                <w:rFonts w:ascii="Calibri" w:hAnsi="Calibri"/>
                <w:color w:val="333333"/>
                <w:sz w:val="18"/>
              </w:rPr>
              <w:t>Engineering</w:t>
            </w:r>
          </w:p>
        </w:tc>
        <w:tc>
          <w:tcPr>
            <w:tcW w:type="dxa" w:w="3120"/>
          </w:tcPr>
          <w:p>
            <w:r>
              <w:rPr>
                <w:rFonts w:ascii="Calibri" w:hAnsi="Calibri"/>
                <w:color w:val="333333"/>
                <w:sz w:val="18"/>
              </w:rPr>
              <w:t>AWS Solutions Architect, CKA</w:t>
            </w:r>
          </w:p>
        </w:tc>
        <w:tc>
          <w:tcPr>
            <w:tcW w:type="dxa" w:w="3120"/>
          </w:tcPr>
          <w:p>
            <w:r>
              <w:rPr>
                <w:rFonts w:ascii="Calibri" w:hAnsi="Calibri"/>
                <w:color w:val="333333"/>
                <w:sz w:val="18"/>
              </w:rPr>
              <w:t>₹1,50,000</w:t>
            </w:r>
          </w:p>
        </w:tc>
      </w:tr>
      <w:tr>
        <w:tc>
          <w:tcPr>
            <w:tcW w:type="dxa" w:w="3120"/>
            <w:shd w:fill="F2F6FA" w:val="clear"/>
          </w:tcPr>
          <w:p>
            <w:r>
              <w:rPr>
                <w:rFonts w:ascii="Calibri" w:hAnsi="Calibri"/>
                <w:color w:val="333333"/>
                <w:sz w:val="18"/>
              </w:rPr>
              <w:t>Finance</w:t>
            </w:r>
          </w:p>
        </w:tc>
        <w:tc>
          <w:tcPr>
            <w:tcW w:type="dxa" w:w="3120"/>
            <w:shd w:fill="F2F6FA" w:val="clear"/>
          </w:tcPr>
          <w:p>
            <w:r>
              <w:rPr>
                <w:rFonts w:ascii="Calibri" w:hAnsi="Calibri"/>
                <w:color w:val="333333"/>
                <w:sz w:val="18"/>
              </w:rPr>
              <w:t>CFA, CPA</w:t>
            </w:r>
          </w:p>
        </w:tc>
        <w:tc>
          <w:tcPr>
            <w:tcW w:type="dxa" w:w="3120"/>
            <w:shd w:fill="F2F6FA" w:val="clear"/>
          </w:tcPr>
          <w:p>
            <w:r>
              <w:rPr>
                <w:rFonts w:ascii="Calibri" w:hAnsi="Calibri"/>
                <w:color w:val="333333"/>
                <w:sz w:val="18"/>
              </w:rPr>
              <w:t>₹1,50,000</w:t>
            </w:r>
          </w:p>
        </w:tc>
      </w:tr>
      <w:tr>
        <w:tc>
          <w:tcPr>
            <w:tcW w:type="dxa" w:w="3120"/>
          </w:tcPr>
          <w:p>
            <w:r>
              <w:rPr>
                <w:rFonts w:ascii="Calibri" w:hAnsi="Calibri"/>
                <w:color w:val="333333"/>
                <w:sz w:val="18"/>
              </w:rPr>
              <w:t>HR</w:t>
            </w:r>
          </w:p>
        </w:tc>
        <w:tc>
          <w:tcPr>
            <w:tcW w:type="dxa" w:w="3120"/>
          </w:tcPr>
          <w:p>
            <w:r>
              <w:rPr>
                <w:rFonts w:ascii="Calibri" w:hAnsi="Calibri"/>
                <w:color w:val="333333"/>
                <w:sz w:val="18"/>
              </w:rPr>
              <w:t>SHRM-CP</w:t>
            </w:r>
          </w:p>
        </w:tc>
        <w:tc>
          <w:tcPr>
            <w:tcW w:type="dxa" w:w="3120"/>
          </w:tcPr>
          <w:p>
            <w:r>
              <w:rPr>
                <w:rFonts w:ascii="Calibri" w:hAnsi="Calibri"/>
                <w:color w:val="333333"/>
                <w:sz w:val="18"/>
              </w:rPr>
              <w:t>₹1,00,000</w:t>
            </w:r>
          </w:p>
        </w:tc>
      </w:tr>
    </w:tbl>
    <w:p/>
    <w:p>
      <w:pPr>
        <w:pStyle w:val="Heading1"/>
      </w:pPr>
      <w:r>
        <w:t>5. Approval and Reimbursement Process</w:t>
      </w:r>
    </w:p>
    <w:p>
      <w:pPr/>
      <w:r>
        <w:t>External training &gt;₹25,000 requires Manager + HR approval. Reimbursement requires pre-approval and receipts submitted within 30 days.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 The reimbursement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reimbursement remains robust and adaptive to dynamic market conditions. Vistara's footprint across India, Singapore, Dubai, London, and Austin requires standardized operational models to maintain enterprise resilience.</w:t>
      </w:r>
    </w:p>
    <w:p>
      <w:pPr>
        <w:pStyle w:val="Heading1"/>
      </w:pPr>
      <w:r>
        <w:t>6. Study Leave and Programs</w:t>
      </w:r>
    </w:p>
    <w:p>
      <w:pPr/>
      <w:r>
        <w:t>Up to 5 days/year for certification exams. We also run an internal knowledge sharing and mentorship program.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 The study leave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study leave remains robust and adaptive to dynamic market conditions. Vistara's footprint across India, Singapore, Dubai, London, and Austin requires standardized operational models to maintain enterprise resilience.</w:t>
      </w:r>
    </w:p>
    <w:p>
      <w:pPr>
        <w:pStyle w:val="Heading1"/>
      </w:pPr>
      <w:r>
        <w:t>7. Leadership Development</w:t>
      </w:r>
    </w:p>
    <w:p>
      <w:pPr/>
      <w:r>
        <w:t>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 The leadership programs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leadership programs remains robust and adaptive to dynamic market conditions. Vistara's footprint across India, Singapore, Dubai, London, and Austin requires standardized operational models to maintain enterprise resilience.</w:t>
      </w:r>
    </w:p>
    <w:p>
      <w:pPr>
        <w:pStyle w:val="Heading1"/>
      </w:pPr>
      <w:r>
        <w:t>8. Scenarios</w:t>
      </w:r>
    </w:p>
    <w:p>
      <w:pPr>
        <w:pStyle w:val="Heading3"/>
      </w:pPr>
      <w:r>
        <w:t>Scenario 1: Certification Request</w:t>
      </w:r>
    </w:p>
    <w:p>
      <w:r>
        <w:rPr>
          <w:b/>
          <w:color w:val="1B3A5C"/>
        </w:rPr>
        <w:t xml:space="preserve">Situation: </w:t>
      </w:r>
      <w:r>
        <w:t>Employee wants to attend a ₹60,000 training.</w:t>
      </w:r>
    </w:p>
    <w:p>
      <w:r>
        <w:rPr>
          <w:b/>
          <w:color w:val="1B3A5C"/>
        </w:rPr>
        <w:t xml:space="preserve">Relevant Requirements: </w:t>
      </w:r>
      <w:r>
        <w:t>Requires Manager + HR approval.</w:t>
      </w:r>
    </w:p>
    <w:p>
      <w:r>
        <w:rPr>
          <w:b/>
          <w:color w:val="1B3A5C"/>
        </w:rPr>
        <w:t xml:space="preserve">Expected Process: </w:t>
      </w:r>
      <w:r>
        <w:t>Submit via HRMS, get approvals, attend training, submit expense report within 30 days.</w:t>
      </w:r>
    </w:p>
    <w:p>
      <w:r>
        <w:rPr>
          <w:b/>
          <w:color w:val="1B3A5C"/>
        </w:rPr>
        <w:t xml:space="preserve">Outcome: </w:t>
      </w:r>
      <w:r>
        <w:t>Employee reimbursed and bond signed.</w:t>
      </w:r>
    </w:p>
    <w:p/>
    <w:p>
      <w:pPr/>
      <w:r>
        <w:t>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w:t>
      </w:r>
    </w:p>
    <w:p>
      <w:pPr>
        <w:pStyle w:val="Heading3"/>
      </w:pPr>
      <w:r>
        <w:t>Scenario 2: Certification Request</w:t>
      </w:r>
    </w:p>
    <w:p>
      <w:r>
        <w:rPr>
          <w:b/>
          <w:color w:val="1B3A5C"/>
        </w:rPr>
        <w:t xml:space="preserve">Situation: </w:t>
      </w:r>
      <w:r>
        <w:t>Employee wants to attend a ₹60,000 training.</w:t>
      </w:r>
    </w:p>
    <w:p>
      <w:r>
        <w:rPr>
          <w:b/>
          <w:color w:val="1B3A5C"/>
        </w:rPr>
        <w:t xml:space="preserve">Relevant Requirements: </w:t>
      </w:r>
      <w:r>
        <w:t>Requires Manager + HR approval.</w:t>
      </w:r>
    </w:p>
    <w:p>
      <w:r>
        <w:rPr>
          <w:b/>
          <w:color w:val="1B3A5C"/>
        </w:rPr>
        <w:t xml:space="preserve">Expected Process: </w:t>
      </w:r>
      <w:r>
        <w:t>Submit via HRMS, get approvals, attend training, submit expense report within 30 days.</w:t>
      </w:r>
    </w:p>
    <w:p>
      <w:r>
        <w:rPr>
          <w:b/>
          <w:color w:val="1B3A5C"/>
        </w:rPr>
        <w:t xml:space="preserve">Outcome: </w:t>
      </w:r>
      <w:r>
        <w:t>Employee reimbursed and bond signed.</w:t>
      </w:r>
    </w:p>
    <w:p/>
    <w:p>
      <w:pPr/>
      <w:r>
        <w:t>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w:t>
      </w:r>
    </w:p>
    <w:p>
      <w:pPr>
        <w:pStyle w:val="Heading3"/>
      </w:pPr>
      <w:r>
        <w:t>Scenario 3: Certification Request</w:t>
      </w:r>
    </w:p>
    <w:p>
      <w:r>
        <w:rPr>
          <w:b/>
          <w:color w:val="1B3A5C"/>
        </w:rPr>
        <w:t xml:space="preserve">Situation: </w:t>
      </w:r>
      <w:r>
        <w:t>Employee wants to attend a ₹60,000 training.</w:t>
      </w:r>
    </w:p>
    <w:p>
      <w:r>
        <w:rPr>
          <w:b/>
          <w:color w:val="1B3A5C"/>
        </w:rPr>
        <w:t xml:space="preserve">Relevant Requirements: </w:t>
      </w:r>
      <w:r>
        <w:t>Requires Manager + HR approval.</w:t>
      </w:r>
    </w:p>
    <w:p>
      <w:r>
        <w:rPr>
          <w:b/>
          <w:color w:val="1B3A5C"/>
        </w:rPr>
        <w:t xml:space="preserve">Expected Process: </w:t>
      </w:r>
      <w:r>
        <w:t>Submit via HRMS, get approvals, attend training, submit expense report within 30 days.</w:t>
      </w:r>
    </w:p>
    <w:p>
      <w:r>
        <w:rPr>
          <w:b/>
          <w:color w:val="1B3A5C"/>
        </w:rPr>
        <w:t xml:space="preserve">Outcome: </w:t>
      </w:r>
      <w:r>
        <w:t>Employee reimbursed and bond signed.</w:t>
      </w:r>
    </w:p>
    <w:p/>
    <w:p>
      <w:pPr/>
      <w:r>
        <w:t>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 The scenario processing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processing remains robust and adaptive to dynamic market conditions. Vistara's footprint across India, Singapore, Dubai, London, and Austin requires standardized operational models to maintain enterprise resilience.</w:t>
      </w:r>
    </w:p>
    <w:p>
      <w:pPr>
        <w:pStyle w:val="Heading1"/>
      </w:pPr>
      <w:r>
        <w:t>9. Frequently Asked Questions (FAQ)</w:t>
      </w:r>
    </w:p>
    <w:p>
      <w:r>
        <w:rPr>
          <w:rFonts w:ascii="Calibri" w:hAnsi="Calibri"/>
          <w:b/>
          <w:color w:val="1B3A5C"/>
          <w:sz w:val="22"/>
        </w:rPr>
        <w:t>Q: Can I carry forward my learning budget? (Q1)</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(Q2)</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(Q3)</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(Q4)</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(Q5)</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(Q6)</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(Q7)</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(Q8)</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(Q9)</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I carry forward my learning budget? (Q10)</w:t>
      </w:r>
    </w:p>
    <w:p>
      <w:pPr>
        <w:spacing w:after="240"/>
      </w:pPr>
      <w:r>
        <w:rPr>
          <w:rFonts w:ascii="Calibri" w:hAnsi="Calibri"/>
          <w:color w:val="333333"/>
          <w:sz w:val="22"/>
        </w:rPr>
        <w:t>A: No, the learning budget of ₹50,000 resets at the beginning of each financial year. The carry forward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carry forward remains robust and adaptive to dynamic market conditions. Vistara's footprint across India, Singapore, Dubai, London, and Austin requires standardized operational models to maintain enterprise resilience.</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1.1</w:t>
            </w:r>
          </w:p>
        </w:tc>
        <w:tc>
          <w:tcPr>
            <w:tcW w:type="dxa" w:w="1872"/>
          </w:tcPr>
          <w:p>
            <w:r>
              <w:rPr>
                <w:rFonts w:ascii="Calibri" w:hAnsi="Calibri"/>
                <w:color w:val="333333"/>
                <w:sz w:val="18"/>
              </w:rPr>
              <w:t>01 Dec 2025</w:t>
            </w:r>
          </w:p>
        </w:tc>
        <w:tc>
          <w:tcPr>
            <w:tcW w:type="dxa" w:w="2160"/>
          </w:tcPr>
          <w:p>
            <w:r>
              <w:rPr>
                <w:rFonts w:ascii="Calibri" w:hAnsi="Calibri"/>
                <w:color w:val="333333"/>
                <w:sz w:val="18"/>
              </w:rPr>
              <w:t>L&amp;D Head</w:t>
            </w:r>
          </w:p>
        </w:tc>
        <w:tc>
          <w:tcPr>
            <w:tcW w:type="dxa" w:w="4320"/>
          </w:tcPr>
          <w:p>
            <w:r>
              <w:rPr>
                <w:rFonts w:ascii="Calibri" w:hAnsi="Calibri"/>
                <w:color w:val="333333"/>
                <w:sz w:val="18"/>
              </w:rPr>
              <w:t>Initial formal policy.</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15 May 2026</w:t>
            </w:r>
          </w:p>
        </w:tc>
        <w:tc>
          <w:tcPr>
            <w:tcW w:type="dxa" w:w="2160"/>
            <w:shd w:fill="F2F6FA" w:val="clear"/>
          </w:tcPr>
          <w:p>
            <w:r>
              <w:rPr>
                <w:rFonts w:ascii="Calibri" w:hAnsi="Calibri"/>
                <w:color w:val="333333"/>
                <w:sz w:val="18"/>
              </w:rPr>
              <w:t>VP HR</w:t>
            </w:r>
          </w:p>
        </w:tc>
        <w:tc>
          <w:tcPr>
            <w:tcW w:type="dxa" w:w="4320"/>
            <w:shd w:fill="F2F6FA" w:val="clear"/>
          </w:tcPr>
          <w:p>
            <w:r>
              <w:rPr>
                <w:rFonts w:ascii="Calibri" w:hAnsi="Calibri"/>
                <w:color w:val="333333"/>
                <w:sz w:val="18"/>
              </w:rPr>
              <w:t>Increased certification budget and added bond requirement.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HR-010</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