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Recruitment and Background Verification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HR-011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2.1</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Confidential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Human Resources</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June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HR-011</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Recruitment and Background Verification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2.1</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Confidential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Human Resources</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June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June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HR, Hiring Managers, and Candidates.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2.0 (01 January 2026)</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HR-006, HR-012, DATA-001,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Hiring Process and Role Approval</w:t>
      </w:r>
    </w:p>
    <w:p>
      <w:pPr/>
      <w:r>
        <w:t>Requisition approval requires Department Head + HR + Finance. Headcount approval from VP + CFO for new positions.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 The hiring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hiring remains robust and adaptive to dynamic market conditions. Vistara's footprint across India, Singapore, Dubai, London, and Austin requires standardized operational models to maintain enterprise resilience.</w:t>
      </w:r>
    </w:p>
    <w:p>
      <w:pPr/>
      <w:r>
        <w:t>Interviews require minimum 3 rounds for engineering, 2 for others. Assessment covers technical, behavioral, and cultural fit.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 The interviews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interviews remains robust and adaptive to dynamic market conditions. Vistara's footprint across India, Singapore, Dubai, London, and Austin requires standardized operational models to maintain enterprise resilience.</w:t>
      </w:r>
    </w:p>
    <w:p>
      <w:pPr>
        <w:pStyle w:val="Heading1"/>
      </w:pPr>
      <w:r>
        <w:t>2. Candidate Assessment and Interview Panels</w:t>
      </w:r>
    </w:p>
    <w:p>
      <w:pPr/>
      <w:r>
        <w:t>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 The panels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panels remains robust and adaptive to dynamic market conditions. Vistara's footprint across India, Singapore, Dubai, London, and Austin requires standardized operational models to maintain enterprise resilience.</w:t>
      </w:r>
    </w:p>
    <w:p>
      <w:pPr>
        <w:pStyle w:val="Heading1"/>
      </w:pPr>
      <w:r>
        <w:t>3. Offer Approval Matrix</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Role Level</w:t>
            </w:r>
          </w:p>
        </w:tc>
        <w:tc>
          <w:tcPr>
            <w:tcW w:type="dxa" w:w="2340"/>
            <w:shd w:fill="1B3A5C" w:val="clear"/>
          </w:tcPr>
          <w:p>
            <w:pPr>
              <w:jc w:val="center"/>
            </w:pPr>
            <w:r>
              <w:rPr>
                <w:rFonts w:ascii="Calibri" w:hAnsi="Calibri"/>
                <w:b/>
                <w:color w:val="FFFFFF"/>
                <w:sz w:val="20"/>
              </w:rPr>
              <w:t>Approver 1</w:t>
            </w:r>
          </w:p>
        </w:tc>
        <w:tc>
          <w:tcPr>
            <w:tcW w:type="dxa" w:w="2340"/>
            <w:shd w:fill="1B3A5C" w:val="clear"/>
          </w:tcPr>
          <w:p>
            <w:pPr>
              <w:jc w:val="center"/>
            </w:pPr>
            <w:r>
              <w:rPr>
                <w:rFonts w:ascii="Calibri" w:hAnsi="Calibri"/>
                <w:b/>
                <w:color w:val="FFFFFF"/>
                <w:sz w:val="20"/>
              </w:rPr>
              <w:t>Approver 2</w:t>
            </w:r>
          </w:p>
        </w:tc>
        <w:tc>
          <w:tcPr>
            <w:tcW w:type="dxa" w:w="2340"/>
            <w:shd w:fill="1B3A5C" w:val="clear"/>
          </w:tcPr>
          <w:p>
            <w:pPr>
              <w:jc w:val="center"/>
            </w:pPr>
            <w:r>
              <w:rPr>
                <w:rFonts w:ascii="Calibri" w:hAnsi="Calibri"/>
                <w:b/>
                <w:color w:val="FFFFFF"/>
                <w:sz w:val="20"/>
              </w:rPr>
              <w:t>Approver 3</w:t>
            </w:r>
          </w:p>
        </w:tc>
      </w:tr>
      <w:tr>
        <w:tc>
          <w:tcPr>
            <w:tcW w:type="dxa" w:w="2340"/>
          </w:tcPr>
          <w:p>
            <w:r>
              <w:rPr>
                <w:rFonts w:ascii="Calibri" w:hAnsi="Calibri"/>
                <w:color w:val="333333"/>
                <w:sz w:val="18"/>
              </w:rPr>
              <w:t>Individual Contributor</w:t>
            </w:r>
          </w:p>
        </w:tc>
        <w:tc>
          <w:tcPr>
            <w:tcW w:type="dxa" w:w="2340"/>
          </w:tcPr>
          <w:p>
            <w:r>
              <w:rPr>
                <w:rFonts w:ascii="Calibri" w:hAnsi="Calibri"/>
                <w:color w:val="333333"/>
                <w:sz w:val="18"/>
              </w:rPr>
              <w:t>Hiring Manager</w:t>
            </w:r>
          </w:p>
        </w:tc>
        <w:tc>
          <w:tcPr>
            <w:tcW w:type="dxa" w:w="2340"/>
          </w:tcPr>
          <w:p>
            <w:r>
              <w:rPr>
                <w:rFonts w:ascii="Calibri" w:hAnsi="Calibri"/>
                <w:color w:val="333333"/>
                <w:sz w:val="18"/>
              </w:rPr>
              <w:t>HRBP</w:t>
            </w:r>
          </w:p>
        </w:tc>
        <w:tc>
          <w:tcPr>
            <w:tcW w:type="dxa" w:w="2340"/>
          </w:tcPr>
          <w:p>
            <w:r>
              <w:rPr>
                <w:rFonts w:ascii="Calibri" w:hAnsi="Calibri"/>
                <w:color w:val="333333"/>
                <w:sz w:val="18"/>
              </w:rPr>
              <w:t>Finance Manager</w:t>
            </w:r>
          </w:p>
        </w:tc>
      </w:tr>
      <w:tr>
        <w:tc>
          <w:tcPr>
            <w:tcW w:type="dxa" w:w="2340"/>
            <w:shd w:fill="F2F6FA" w:val="clear"/>
          </w:tcPr>
          <w:p>
            <w:r>
              <w:rPr>
                <w:rFonts w:ascii="Calibri" w:hAnsi="Calibri"/>
                <w:color w:val="333333"/>
                <w:sz w:val="18"/>
              </w:rPr>
              <w:t>Manager/Director</w:t>
            </w:r>
          </w:p>
        </w:tc>
        <w:tc>
          <w:tcPr>
            <w:tcW w:type="dxa" w:w="2340"/>
            <w:shd w:fill="F2F6FA" w:val="clear"/>
          </w:tcPr>
          <w:p>
            <w:r>
              <w:rPr>
                <w:rFonts w:ascii="Calibri" w:hAnsi="Calibri"/>
                <w:color w:val="333333"/>
                <w:sz w:val="18"/>
              </w:rPr>
              <w:t>Department Head</w:t>
            </w:r>
          </w:p>
        </w:tc>
        <w:tc>
          <w:tcPr>
            <w:tcW w:type="dxa" w:w="2340"/>
            <w:shd w:fill="F2F6FA" w:val="clear"/>
          </w:tcPr>
          <w:p>
            <w:r>
              <w:rPr>
                <w:rFonts w:ascii="Calibri" w:hAnsi="Calibri"/>
                <w:color w:val="333333"/>
                <w:sz w:val="18"/>
              </w:rPr>
              <w:t>VP HR</w:t>
            </w:r>
          </w:p>
        </w:tc>
        <w:tc>
          <w:tcPr>
            <w:tcW w:type="dxa" w:w="2340"/>
            <w:shd w:fill="F2F6FA" w:val="clear"/>
          </w:tcPr>
          <w:p>
            <w:r>
              <w:rPr>
                <w:rFonts w:ascii="Calibri" w:hAnsi="Calibri"/>
                <w:color w:val="333333"/>
                <w:sz w:val="18"/>
              </w:rPr>
              <w:t>CFO</w:t>
            </w:r>
          </w:p>
        </w:tc>
      </w:tr>
      <w:tr>
        <w:tc>
          <w:tcPr>
            <w:tcW w:type="dxa" w:w="2340"/>
          </w:tcPr>
          <w:p>
            <w:r>
              <w:rPr>
                <w:rFonts w:ascii="Calibri" w:hAnsi="Calibri"/>
                <w:color w:val="333333"/>
                <w:sz w:val="18"/>
              </w:rPr>
              <w:t>VP and above</w:t>
            </w:r>
          </w:p>
        </w:tc>
        <w:tc>
          <w:tcPr>
            <w:tcW w:type="dxa" w:w="2340"/>
          </w:tcPr>
          <w:p>
            <w:r>
              <w:rPr>
                <w:rFonts w:ascii="Calibri" w:hAnsi="Calibri"/>
                <w:color w:val="333333"/>
                <w:sz w:val="18"/>
              </w:rPr>
              <w:t>CPO</w:t>
            </w:r>
          </w:p>
        </w:tc>
        <w:tc>
          <w:tcPr>
            <w:tcW w:type="dxa" w:w="2340"/>
          </w:tcPr>
          <w:p>
            <w:r>
              <w:rPr>
                <w:rFonts w:ascii="Calibri" w:hAnsi="Calibri"/>
                <w:color w:val="333333"/>
                <w:sz w:val="18"/>
              </w:rPr>
              <w:t>CEO</w:t>
            </w:r>
          </w:p>
        </w:tc>
        <w:tc>
          <w:tcPr>
            <w:tcW w:type="dxa" w:w="2340"/>
          </w:tcPr>
          <w:p>
            <w:r>
              <w:rPr>
                <w:rFonts w:ascii="Calibri" w:hAnsi="Calibri"/>
                <w:color w:val="333333"/>
                <w:sz w:val="18"/>
              </w:rPr>
              <w:t>Board</w:t>
            </w:r>
          </w:p>
        </w:tc>
      </w:tr>
    </w:tbl>
    <w:p/>
    <w:p>
      <w:pPr/>
      <w:r>
        <w:t>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 The offer approval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offer approval remains robust and adaptive to dynamic market conditions. Vistara's footprint across India, Singapore, Dubai, London, and Austin requires standardized operational models to maintain enterprise resilience.</w:t>
      </w:r>
    </w:p>
    <w:p>
      <w:pPr>
        <w:pStyle w:val="Heading1"/>
      </w:pPr>
      <w:r>
        <w:t>4. Background Verification (BGV)</w:t>
      </w:r>
    </w:p>
    <w:p>
      <w:pPr/>
      <w:r>
        <w:t>Checks include identity, education, employment history (last 3 employers), criminal records, and credit check (finance roles only). Verification timeline: within 60 days of joining.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 The BGV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BGV remains robust and adaptive to dynamic market conditions. Vistara's footprint across India, Singapore, Dubai, London, and Austin requires standardized operational models to maintain enterprise resilience.</w:t>
      </w:r>
    </w:p>
    <w:p>
      <w:pPr/>
      <w:r>
        <w:t>Contractors engaged for &gt;6 months undergo the same verification.</w:t>
      </w:r>
    </w:p>
    <w:p>
      <w:pPr>
        <w:pStyle w:val="Heading1"/>
      </w:pPr>
      <w:r>
        <w:t>5. Privacy, Consent and Adverse Findings</w:t>
      </w:r>
    </w:p>
    <w:p>
      <w:pPr/>
      <w:r>
        <w:t>Written consent required in compliance with DATA-001. Adverse findings trigger candidate notification, opportunity to explain, and escalation to HR Director.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 The privacy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privacy remains robust and adaptive to dynamic market conditions. Vistara's footprint across India, Singapore, Dubai, London, and Austin requires standardized operational models to maintain enterprise resilience.</w:t>
      </w:r>
    </w:p>
    <w:p>
      <w:pPr>
        <w:pStyle w:val="Heading1"/>
      </w:pPr>
      <w:r>
        <w:t>6. Referral and Rehire Program</w:t>
      </w:r>
    </w:p>
    <w:p>
      <w:pPr/>
      <w:r>
        <w:t>Referral bonuses range from ₹25,000 to ₹75,000 based on level.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 The referral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referral remains robust and adaptive to dynamic market conditions. Vistara's footprint across India, Singapore, Dubai, London, and Austin requires standardized operational models to maintain enterprise resilience.</w:t>
      </w:r>
    </w:p>
    <w:p>
      <w:pPr>
        <w:pStyle w:val="Heading1"/>
      </w:pPr>
      <w:r>
        <w:t>7. Exceptions</w:t>
      </w:r>
    </w:p>
    <w:p>
      <w:pPr/>
      <w:r>
        <w:t>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 The exceptions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exceptions remains robust and adaptive to dynamic market conditions. Vistara's footprint across India, Singapore, Dubai, London, and Austin requires standardized operational models to maintain enterprise resilience.</w:t>
      </w:r>
    </w:p>
    <w:p>
      <w:pPr>
        <w:pStyle w:val="Heading1"/>
      </w:pPr>
      <w:r>
        <w:t>8. Scenarios</w:t>
      </w:r>
    </w:p>
    <w:p>
      <w:pPr>
        <w:pStyle w:val="Heading3"/>
      </w:pPr>
      <w:r>
        <w:t>Scenario 1: Discrepancy in BGV</w:t>
      </w:r>
    </w:p>
    <w:p>
      <w:r>
        <w:rPr>
          <w:b/>
          <w:color w:val="1B3A5C"/>
        </w:rPr>
        <w:t xml:space="preserve">Situation: </w:t>
      </w:r>
      <w:r>
        <w:t>Candidate's employment dates do not match records.</w:t>
      </w:r>
    </w:p>
    <w:p>
      <w:r>
        <w:rPr>
          <w:b/>
          <w:color w:val="1B3A5C"/>
        </w:rPr>
        <w:t xml:space="preserve">Relevant Requirements: </w:t>
      </w:r>
      <w:r>
        <w:t>Adverse finding procedure applies.</w:t>
      </w:r>
    </w:p>
    <w:p>
      <w:r>
        <w:rPr>
          <w:b/>
          <w:color w:val="1B3A5C"/>
        </w:rPr>
        <w:t xml:space="preserve">Expected Process: </w:t>
      </w:r>
      <w:r>
        <w:t>HR notifies candidate, allows 5 days to provide proof, escalates to HR Director.</w:t>
      </w:r>
    </w:p>
    <w:p>
      <w:r>
        <w:rPr>
          <w:b/>
          <w:color w:val="1B3A5C"/>
        </w:rPr>
        <w:t xml:space="preserve">Outcome: </w:t>
      </w:r>
      <w:r>
        <w:t>Offer may be revoked if proof is unsatisfactory.</w:t>
      </w:r>
    </w:p>
    <w:p/>
    <w:p>
      <w:pPr/>
      <w:r>
        <w:t>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 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 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w:t>
      </w:r>
    </w:p>
    <w:p>
      <w:pPr>
        <w:pStyle w:val="Heading3"/>
      </w:pPr>
      <w:r>
        <w:t>Scenario 2: Discrepancy in BGV</w:t>
      </w:r>
    </w:p>
    <w:p>
      <w:r>
        <w:rPr>
          <w:b/>
          <w:color w:val="1B3A5C"/>
        </w:rPr>
        <w:t xml:space="preserve">Situation: </w:t>
      </w:r>
      <w:r>
        <w:t>Candidate's employment dates do not match records.</w:t>
      </w:r>
    </w:p>
    <w:p>
      <w:r>
        <w:rPr>
          <w:b/>
          <w:color w:val="1B3A5C"/>
        </w:rPr>
        <w:t xml:space="preserve">Relevant Requirements: </w:t>
      </w:r>
      <w:r>
        <w:t>Adverse finding procedure applies.</w:t>
      </w:r>
    </w:p>
    <w:p>
      <w:r>
        <w:rPr>
          <w:b/>
          <w:color w:val="1B3A5C"/>
        </w:rPr>
        <w:t xml:space="preserve">Expected Process: </w:t>
      </w:r>
      <w:r>
        <w:t>HR notifies candidate, allows 5 days to provide proof, escalates to HR Director.</w:t>
      </w:r>
    </w:p>
    <w:p>
      <w:r>
        <w:rPr>
          <w:b/>
          <w:color w:val="1B3A5C"/>
        </w:rPr>
        <w:t xml:space="preserve">Outcome: </w:t>
      </w:r>
      <w:r>
        <w:t>Offer may be revoked if proof is unsatisfactory.</w:t>
      </w:r>
    </w:p>
    <w:p/>
    <w:p>
      <w:pPr/>
      <w:r>
        <w:t>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 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 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w:t>
      </w:r>
    </w:p>
    <w:p>
      <w:pPr>
        <w:pStyle w:val="Heading3"/>
      </w:pPr>
      <w:r>
        <w:t>Scenario 3: Discrepancy in BGV</w:t>
      </w:r>
    </w:p>
    <w:p>
      <w:r>
        <w:rPr>
          <w:b/>
          <w:color w:val="1B3A5C"/>
        </w:rPr>
        <w:t xml:space="preserve">Situation: </w:t>
      </w:r>
      <w:r>
        <w:t>Candidate's employment dates do not match records.</w:t>
      </w:r>
    </w:p>
    <w:p>
      <w:r>
        <w:rPr>
          <w:b/>
          <w:color w:val="1B3A5C"/>
        </w:rPr>
        <w:t xml:space="preserve">Relevant Requirements: </w:t>
      </w:r>
      <w:r>
        <w:t>Adverse finding procedure applies.</w:t>
      </w:r>
    </w:p>
    <w:p>
      <w:r>
        <w:rPr>
          <w:b/>
          <w:color w:val="1B3A5C"/>
        </w:rPr>
        <w:t xml:space="preserve">Expected Process: </w:t>
      </w:r>
      <w:r>
        <w:t>HR notifies candidate, allows 5 days to provide proof, escalates to HR Director.</w:t>
      </w:r>
    </w:p>
    <w:p>
      <w:r>
        <w:rPr>
          <w:b/>
          <w:color w:val="1B3A5C"/>
        </w:rPr>
        <w:t xml:space="preserve">Outcome: </w:t>
      </w:r>
      <w:r>
        <w:t>Offer may be revoked if proof is unsatisfactory.</w:t>
      </w:r>
    </w:p>
    <w:p/>
    <w:p>
      <w:pPr/>
      <w:r>
        <w:t>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 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 The scenario handling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scenario handling remains robust and adaptive to dynamic market conditions. Vistara's footprint across India, Singapore, Dubai, London, and Austin requires standardized operational models to maintain enterprise resilience.</w:t>
      </w:r>
    </w:p>
    <w:p>
      <w:pPr>
        <w:pStyle w:val="Heading1"/>
      </w:pPr>
      <w:r>
        <w:t>9. Frequently Asked Questions (FAQ)</w:t>
      </w:r>
    </w:p>
    <w:p>
      <w:r>
        <w:rPr>
          <w:rFonts w:ascii="Calibri" w:hAnsi="Calibri"/>
          <w:b/>
          <w:color w:val="1B3A5C"/>
          <w:sz w:val="22"/>
        </w:rPr>
        <w:t>Q: Is a credit check required for software engineers? (Q1)</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(Q2)</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(Q3)</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(Q4)</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(Q5)</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(Q6)</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(Q7)</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(Q8)</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(Q9)</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r>
        <w:rPr>
          <w:rFonts w:ascii="Calibri" w:hAnsi="Calibri"/>
          <w:b/>
          <w:color w:val="1B3A5C"/>
          <w:sz w:val="22"/>
        </w:rPr>
        <w:t>Q: Is a credit check required for software engineers? (Q10)</w:t>
      </w:r>
    </w:p>
    <w:p>
      <w:pPr>
        <w:spacing w:after="240"/>
      </w:pPr>
      <w:r>
        <w:rPr>
          <w:rFonts w:ascii="Calibri" w:hAnsi="Calibri"/>
          <w:color w:val="333333"/>
          <w:sz w:val="22"/>
        </w:rPr>
        <w:t>A: No, credit checks are strictly limited to Finance roles handling company funds. The checks process is designed to ensure maximum efficiency, transparency, and fairness across Vistara Global Systems. All employees are expected to adhere to the guidelines set forth. Management reserves the right to review and amend these procedures to align with strategic organizational objectives. Furthermore, cross-functional collaboration is highly encouraged to foster an environment of continuous improvement and operational excellence. This comprehensive approach ensures that checks remains robust and adaptive to dynamic market conditions. Vistara's footprint across India, Singapore, Dubai, London, and Austin requires standardized operational models to maintain enterprise resilience.</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01 Jan 2026</w:t>
            </w:r>
          </w:p>
        </w:tc>
        <w:tc>
          <w:tcPr>
            <w:tcW w:type="dxa" w:w="2160"/>
          </w:tcPr>
          <w:p>
            <w:r>
              <w:rPr>
                <w:rFonts w:ascii="Calibri" w:hAnsi="Calibri"/>
                <w:color w:val="333333"/>
                <w:sz w:val="18"/>
              </w:rPr>
              <w:t>TA Head</w:t>
            </w:r>
          </w:p>
        </w:tc>
        <w:tc>
          <w:tcPr>
            <w:tcW w:type="dxa" w:w="4320"/>
          </w:tcPr>
          <w:p>
            <w:r>
              <w:rPr>
                <w:rFonts w:ascii="Calibri" w:hAnsi="Calibri"/>
                <w:color w:val="333333"/>
                <w:sz w:val="18"/>
              </w:rPr>
              <w:t>Standardized BGV vendors.</w:t>
            </w:r>
          </w:p>
        </w:tc>
      </w:tr>
      <w:tr>
        <w:tc>
          <w:tcPr>
            <w:tcW w:type="dxa" w:w="1152"/>
            <w:shd w:fill="F2F6FA" w:val="clear"/>
          </w:tcPr>
          <w:p>
            <w:r>
              <w:rPr>
                <w:rFonts w:ascii="Calibri" w:hAnsi="Calibri"/>
                <w:color w:val="333333"/>
                <w:sz w:val="18"/>
              </w:rPr>
              <w:t>2.1</w:t>
            </w:r>
          </w:p>
        </w:tc>
        <w:tc>
          <w:tcPr>
            <w:tcW w:type="dxa" w:w="1872"/>
            <w:shd w:fill="F2F6FA" w:val="clear"/>
          </w:tcPr>
          <w:p>
            <w:r>
              <w:rPr>
                <w:rFonts w:ascii="Calibri" w:hAnsi="Calibri"/>
                <w:color w:val="333333"/>
                <w:sz w:val="18"/>
              </w:rPr>
              <w:t>01 Jun 2026</w:t>
            </w:r>
          </w:p>
        </w:tc>
        <w:tc>
          <w:tcPr>
            <w:tcW w:type="dxa" w:w="2160"/>
            <w:shd w:fill="F2F6FA" w:val="clear"/>
          </w:tcPr>
          <w:p>
            <w:r>
              <w:rPr>
                <w:rFonts w:ascii="Calibri" w:hAnsi="Calibri"/>
                <w:color w:val="333333"/>
                <w:sz w:val="18"/>
              </w:rPr>
              <w:t>VP HR</w:t>
            </w:r>
          </w:p>
        </w:tc>
        <w:tc>
          <w:tcPr>
            <w:tcW w:type="dxa" w:w="4320"/>
            <w:shd w:fill="F2F6FA" w:val="clear"/>
          </w:tcPr>
          <w:p>
            <w:r>
              <w:rPr>
                <w:rFonts w:ascii="Calibri" w:hAnsi="Calibri"/>
                <w:color w:val="333333"/>
                <w:sz w:val="18"/>
              </w:rPr>
              <w:t>Added contractor verification requirements.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Confidential — HR-011</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