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Onboarding and Offboarding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Human Resources</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HR-012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Onboarding and Offboarding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Human Resources</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August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February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HR-011, SEC-001, SEC-002, SEC-003, ENG-009, DATA-002</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Onboarding Process</w:t>
      </w:r>
    </w:p>
    <w:p>
      <w:pPr/>
      <w:r>
        <w:t>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 The onboarding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onboarding remains robust and adaptive to dynamic market conditions. Vistara's footprint across India, Singapore, Dubai, London, and Austin requires standardized operational models to maintain enterprise resilience.</w:t>
      </w:r>
    </w:p>
    <w:p>
      <w:pPr>
        <w:pStyle w:val="ListBullet"/>
      </w:pPr>
      <w:r>
        <w:t>Day 1: Identity setup (employee ID VGS-XXXXX, corporate email, HRMS profile), Base Access, Laptop Provisioning (ENG-009).</w:t>
      </w:r>
    </w:p>
    <w:p>
      <w:pPr>
        <w:pStyle w:val="ListBullet"/>
      </w:pPr>
      <w:r>
        <w:t>Week 1: Peripherals provisioning, Role-specific access (within 3 days per SEC-002).</w:t>
      </w:r>
    </w:p>
    <w:p>
      <w:pPr>
        <w:pStyle w:val="ListBullet"/>
      </w:pPr>
      <w:r>
        <w:t>Month 1: Mandatory training completion (security awareness, code of conduct, data privacy, anti-harassment).</w:t>
      </w:r>
    </w:p>
    <w:p>
      <w:pPr>
        <w:pStyle w:val="ListBullet"/>
      </w:pPr>
      <w:r>
        <w:t>90-Day: Final probation milestone check-in.</w:t>
      </w:r>
    </w:p>
    <w:p>
      <w:pPr>
        <w:pStyle w:val="Heading1"/>
      </w:pPr>
      <w:r>
        <w:t>2. Manager Responsibilities for Onboarding</w:t>
      </w:r>
    </w:p>
    <w:p>
      <w:pPr/>
      <w:r>
        <w:t>Buddy assignment required. Managers must create and enforce a 30-60-90 day plan.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 The manager duties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manager duties remains robust and adaptive to dynamic market conditions. Vistara's footprint across India, Singapore, Dubai, London, and Austin requires standardized operational models to maintain enterprise resilience.</w:t>
      </w:r>
    </w:p>
    <w:p>
      <w:pPr>
        <w:pStyle w:val="Heading1"/>
      </w:pPr>
      <w:r>
        <w:t>3. Offboarding / Resignation Process</w:t>
      </w:r>
    </w:p>
    <w:p>
      <w:pPr/>
      <w:r>
        <w:t>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 The offboarding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offboarding remains robust and adaptive to dynamic market conditions. Vistara's footprint across India, Singapore, Dubai, London, and Austin requires standardized operational models to maintain enterprise resilience.</w:t>
      </w:r>
    </w:p>
    <w:tbl>
      <w:tblPr>
        <w:tblStyle w:val="TableGrid"/>
        <w:tblW w:type="auto" w:w="0"/>
        <w:jc w:val="left"/>
        <w:tblLook w:firstColumn="1" w:firstRow="1" w:lastColumn="0" w:lastRow="0" w:noHBand="0" w:noVBand="1" w:val="04A0"/>
      </w:tblPr>
      <w:tblGrid>
        <w:gridCol w:w="4680"/>
        <w:gridCol w:w="4680"/>
      </w:tblGrid>
      <w:tr>
        <w:tc>
          <w:tcPr>
            <w:tcW w:type="dxa" w:w="4680"/>
            <w:shd w:fill="1B3A5C" w:val="clear"/>
          </w:tcPr>
          <w:p>
            <w:pPr>
              <w:jc w:val="center"/>
            </w:pPr>
            <w:r>
              <w:rPr>
                <w:rFonts w:ascii="Calibri" w:hAnsi="Calibri"/>
                <w:b/>
                <w:color w:val="FFFFFF"/>
                <w:sz w:val="20"/>
              </w:rPr>
              <w:t>Role Level</w:t>
            </w:r>
          </w:p>
        </w:tc>
        <w:tc>
          <w:tcPr>
            <w:tcW w:type="dxa" w:w="4680"/>
            <w:shd w:fill="1B3A5C" w:val="clear"/>
          </w:tcPr>
          <w:p>
            <w:pPr>
              <w:jc w:val="center"/>
            </w:pPr>
            <w:r>
              <w:rPr>
                <w:rFonts w:ascii="Calibri" w:hAnsi="Calibri"/>
                <w:b/>
                <w:color w:val="FFFFFF"/>
                <w:sz w:val="20"/>
              </w:rPr>
              <w:t>Notice Period</w:t>
            </w:r>
          </w:p>
        </w:tc>
      </w:tr>
      <w:tr>
        <w:tc>
          <w:tcPr>
            <w:tcW w:type="dxa" w:w="4680"/>
          </w:tcPr>
          <w:p>
            <w:r>
              <w:rPr>
                <w:rFonts w:ascii="Calibri" w:hAnsi="Calibri"/>
                <w:color w:val="333333"/>
                <w:sz w:val="18"/>
              </w:rPr>
              <w:t>Individual Contributors</w:t>
            </w:r>
          </w:p>
        </w:tc>
        <w:tc>
          <w:tcPr>
            <w:tcW w:type="dxa" w:w="4680"/>
          </w:tcPr>
          <w:p>
            <w:r>
              <w:rPr>
                <w:rFonts w:ascii="Calibri" w:hAnsi="Calibri"/>
                <w:color w:val="333333"/>
                <w:sz w:val="18"/>
              </w:rPr>
              <w:t>30 days</w:t>
            </w:r>
          </w:p>
        </w:tc>
      </w:tr>
      <w:tr>
        <w:tc>
          <w:tcPr>
            <w:tcW w:type="dxa" w:w="4680"/>
            <w:shd w:fill="F2F6FA" w:val="clear"/>
          </w:tcPr>
          <w:p>
            <w:r>
              <w:rPr>
                <w:rFonts w:ascii="Calibri" w:hAnsi="Calibri"/>
                <w:color w:val="333333"/>
                <w:sz w:val="18"/>
              </w:rPr>
              <w:t>Managers</w:t>
            </w:r>
          </w:p>
        </w:tc>
        <w:tc>
          <w:tcPr>
            <w:tcW w:type="dxa" w:w="4680"/>
            <w:shd w:fill="F2F6FA" w:val="clear"/>
          </w:tcPr>
          <w:p>
            <w:r>
              <w:rPr>
                <w:rFonts w:ascii="Calibri" w:hAnsi="Calibri"/>
                <w:color w:val="333333"/>
                <w:sz w:val="18"/>
              </w:rPr>
              <w:t>60 days</w:t>
            </w:r>
          </w:p>
        </w:tc>
      </w:tr>
      <w:tr>
        <w:tc>
          <w:tcPr>
            <w:tcW w:type="dxa" w:w="4680"/>
          </w:tcPr>
          <w:p>
            <w:r>
              <w:rPr>
                <w:rFonts w:ascii="Calibri" w:hAnsi="Calibri"/>
                <w:color w:val="333333"/>
                <w:sz w:val="18"/>
              </w:rPr>
              <w:t>Directors and above</w:t>
            </w:r>
          </w:p>
        </w:tc>
        <w:tc>
          <w:tcPr>
            <w:tcW w:type="dxa" w:w="4680"/>
          </w:tcPr>
          <w:p>
            <w:r>
              <w:rPr>
                <w:rFonts w:ascii="Calibri" w:hAnsi="Calibri"/>
                <w:color w:val="333333"/>
                <w:sz w:val="18"/>
              </w:rPr>
              <w:t>90 days</w:t>
            </w:r>
          </w:p>
        </w:tc>
      </w:tr>
    </w:tbl>
    <w:p/>
    <w:p>
      <w:pPr>
        <w:pStyle w:val="Heading1"/>
      </w:pPr>
      <w:r>
        <w:t>4. Termination and Exit Procedures</w:t>
      </w:r>
    </w:p>
    <w:p>
      <w:pPr/>
      <w:r>
        <w:t>Access removal within 4 hours of last working day per SEC-002.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 The termination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termination remains robust and adaptive to dynamic market conditions. Vistara's footprint across India, Singapore, Dubai, London, and Austin requires standardized operational models to maintain enterprise resilience.</w:t>
      </w:r>
    </w:p>
    <w:p>
      <w:pPr>
        <w:pStyle w:val="ListBullet"/>
      </w:pPr>
      <w:r>
        <w:t>Asset return: Laptop, access cards, parking passes, company property.</w:t>
      </w:r>
    </w:p>
    <w:p>
      <w:pPr>
        <w:pStyle w:val="ListBullet"/>
      </w:pPr>
      <w:r>
        <w:t>Data handling: Personal data removal, company data preservation per DATA-002.</w:t>
      </w:r>
    </w:p>
    <w:p>
      <w:pPr>
        <w:pStyle w:val="ListBullet"/>
      </w:pPr>
      <w:r>
        <w:t>Exit Interview: Conducted by HR during the last week.</w:t>
      </w:r>
    </w:p>
    <w:p>
      <w:pPr>
        <w:pStyle w:val="ListBullet"/>
      </w:pPr>
      <w:r>
        <w:t>Final Documentation: Experience letter, relieving letter, Form 16.</w:t>
      </w:r>
    </w:p>
    <w:p>
      <w:pPr>
        <w:pStyle w:val="Heading1"/>
      </w:pPr>
      <w:r>
        <w:t>5. Knowledge Transfer</w:t>
      </w:r>
    </w:p>
    <w:p>
      <w:pPr/>
      <w:r>
        <w:t>Mandatory knowledge transfer documentation must be signed off by the manager before relieving letter is issued.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 The knowledge transfer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knowledge transfer remains robust and adaptive to dynamic market conditions. Vistara's footprint across India, Singapore, Dubai, London, and Austin requires standardized operational models to maintain enterprise resilience.</w:t>
      </w:r>
    </w:p>
    <w:p>
      <w:pPr>
        <w:pStyle w:val="Heading1"/>
      </w:pPr>
      <w:r>
        <w:t>6. Appendices: Checklists</w:t>
      </w:r>
    </w:p>
    <w:p>
      <w:pPr/>
      <w:r>
        <w:t>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 The checklists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checklists remains robust and adaptive to dynamic market conditions. Vistara's footprint across India, Singapore, Dubai, London, and Austin requires standardized operational models to maintain enterprise resilience.</w:t>
      </w:r>
    </w:p>
    <w:p>
      <w:pPr>
        <w:pStyle w:val="Heading1"/>
      </w:pPr>
      <w:r>
        <w:t>7. Scenarios</w:t>
      </w:r>
    </w:p>
    <w:p>
      <w:pPr>
        <w:pStyle w:val="Heading3"/>
      </w:pPr>
      <w:r>
        <w:t>Scenario 1: Involuntary Termination</w:t>
      </w:r>
    </w:p>
    <w:p>
      <w:r>
        <w:rPr>
          <w:b/>
          <w:color w:val="1B3A5C"/>
        </w:rPr>
        <w:t xml:space="preserve">Situation: </w:t>
      </w:r>
      <w:r>
        <w:t>Employee terminated for cause.</w:t>
      </w:r>
    </w:p>
    <w:p>
      <w:r>
        <w:rPr>
          <w:b/>
          <w:color w:val="1B3A5C"/>
        </w:rPr>
        <w:t xml:space="preserve">Relevant Requirements: </w:t>
      </w:r>
      <w:r>
        <w:t>Immediate access revocation.</w:t>
      </w:r>
    </w:p>
    <w:p>
      <w:r>
        <w:rPr>
          <w:b/>
          <w:color w:val="1B3A5C"/>
        </w:rPr>
        <w:t xml:space="preserve">Expected Process: </w:t>
      </w:r>
      <w:r>
        <w:t>HR and IT coordinate to terminate access within 15 minutes, arrange secure return of assets.</w:t>
      </w:r>
    </w:p>
    <w:p>
      <w:r>
        <w:rPr>
          <w:b/>
          <w:color w:val="1B3A5C"/>
        </w:rPr>
        <w:t xml:space="preserve">Outcome: </w:t>
      </w:r>
      <w:r>
        <w:t>Employee safely offboarded without data loss.</w:t>
      </w:r>
    </w:p>
    <w:p/>
    <w:p>
      <w:pPr/>
      <w:r>
        <w:t>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 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 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w:t>
      </w:r>
    </w:p>
    <w:p>
      <w:pPr>
        <w:pStyle w:val="Heading3"/>
      </w:pPr>
      <w:r>
        <w:t>Scenario 2: Involuntary Termination</w:t>
      </w:r>
    </w:p>
    <w:p>
      <w:r>
        <w:rPr>
          <w:b/>
          <w:color w:val="1B3A5C"/>
        </w:rPr>
        <w:t xml:space="preserve">Situation: </w:t>
      </w:r>
      <w:r>
        <w:t>Employee terminated for cause.</w:t>
      </w:r>
    </w:p>
    <w:p>
      <w:r>
        <w:rPr>
          <w:b/>
          <w:color w:val="1B3A5C"/>
        </w:rPr>
        <w:t xml:space="preserve">Relevant Requirements: </w:t>
      </w:r>
      <w:r>
        <w:t>Immediate access revocation.</w:t>
      </w:r>
    </w:p>
    <w:p>
      <w:r>
        <w:rPr>
          <w:b/>
          <w:color w:val="1B3A5C"/>
        </w:rPr>
        <w:t xml:space="preserve">Expected Process: </w:t>
      </w:r>
      <w:r>
        <w:t>HR and IT coordinate to terminate access within 15 minutes, arrange secure return of assets.</w:t>
      </w:r>
    </w:p>
    <w:p>
      <w:r>
        <w:rPr>
          <w:b/>
          <w:color w:val="1B3A5C"/>
        </w:rPr>
        <w:t xml:space="preserve">Outcome: </w:t>
      </w:r>
      <w:r>
        <w:t>Employee safely offboarded without data loss.</w:t>
      </w:r>
    </w:p>
    <w:p/>
    <w:p>
      <w:pPr/>
      <w:r>
        <w:t>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 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 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w:t>
      </w:r>
    </w:p>
    <w:p>
      <w:pPr>
        <w:pStyle w:val="Heading3"/>
      </w:pPr>
      <w:r>
        <w:t>Scenario 3: Involuntary Termination</w:t>
      </w:r>
    </w:p>
    <w:p>
      <w:r>
        <w:rPr>
          <w:b/>
          <w:color w:val="1B3A5C"/>
        </w:rPr>
        <w:t xml:space="preserve">Situation: </w:t>
      </w:r>
      <w:r>
        <w:t>Employee terminated for cause.</w:t>
      </w:r>
    </w:p>
    <w:p>
      <w:r>
        <w:rPr>
          <w:b/>
          <w:color w:val="1B3A5C"/>
        </w:rPr>
        <w:t xml:space="preserve">Relevant Requirements: </w:t>
      </w:r>
      <w:r>
        <w:t>Immediate access revocation.</w:t>
      </w:r>
    </w:p>
    <w:p>
      <w:r>
        <w:rPr>
          <w:b/>
          <w:color w:val="1B3A5C"/>
        </w:rPr>
        <w:t xml:space="preserve">Expected Process: </w:t>
      </w:r>
      <w:r>
        <w:t>HR and IT coordinate to terminate access within 15 minutes, arrange secure return of assets.</w:t>
      </w:r>
    </w:p>
    <w:p>
      <w:r>
        <w:rPr>
          <w:b/>
          <w:color w:val="1B3A5C"/>
        </w:rPr>
        <w:t xml:space="preserve">Outcome: </w:t>
      </w:r>
      <w:r>
        <w:t>Employee safely offboarded without data loss.</w:t>
      </w:r>
    </w:p>
    <w:p/>
    <w:p>
      <w:pPr/>
      <w:r>
        <w:t>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 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 The scenario management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management remains robust and adaptive to dynamic market conditions. Vistara's footprint across India, Singapore, Dubai, London, and Austin requires standardized operational models to maintain enterprise resilience.</w:t>
      </w:r>
    </w:p>
    <w:p>
      <w:pPr>
        <w:pStyle w:val="Heading1"/>
      </w:pPr>
      <w:r>
        <w:t>8. Frequently Asked Questions (FAQ)</w:t>
      </w:r>
    </w:p>
    <w:p>
      <w:r>
        <w:rPr>
          <w:rFonts w:ascii="Calibri" w:hAnsi="Calibri"/>
          <w:b/>
          <w:color w:val="1B3A5C"/>
          <w:sz w:val="22"/>
        </w:rPr>
        <w:t>Q: Can my notice period be waived? (Q1)</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(Q2)</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(Q3)</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(Q4)</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(Q5)</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(Q6)</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(Q7)</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(Q8)</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(Q9)</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Can my notice period be waived? (Q10)</w:t>
      </w:r>
    </w:p>
    <w:p>
      <w:pPr>
        <w:spacing w:after="240"/>
      </w:pPr>
      <w:r>
        <w:rPr>
          <w:rFonts w:ascii="Calibri" w:hAnsi="Calibri"/>
          <w:color w:val="333333"/>
          <w:sz w:val="22"/>
        </w:rPr>
        <w:t>A: Notice period waiver is at the sole discretion of the Department Head and VP HR, typically only in exceptional circumstances. The waiver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waiver remains robust and adaptive to dynamic market conditions. Vistara's footprint across India, Singapore, Dubai, London, and Austin requires standardized operational models to maintain enterprise resilience.</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Feb 2026</w:t>
            </w:r>
          </w:p>
        </w:tc>
        <w:tc>
          <w:tcPr>
            <w:tcW w:type="dxa" w:w="2160"/>
          </w:tcPr>
          <w:p>
            <w:r>
              <w:rPr>
                <w:rFonts w:ascii="Calibri" w:hAnsi="Calibri"/>
                <w:color w:val="333333"/>
                <w:sz w:val="18"/>
              </w:rPr>
              <w:t>HR Ops</w:t>
            </w:r>
          </w:p>
        </w:tc>
        <w:tc>
          <w:tcPr>
            <w:tcW w:type="dxa" w:w="4320"/>
          </w:tcPr>
          <w:p>
            <w:r>
              <w:rPr>
                <w:rFonts w:ascii="Calibri" w:hAnsi="Calibri"/>
                <w:color w:val="333333"/>
                <w:sz w:val="18"/>
              </w:rPr>
              <w:t>Updated asset return checklist.</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Aug 2026</w:t>
            </w:r>
          </w:p>
        </w:tc>
        <w:tc>
          <w:tcPr>
            <w:tcW w:type="dxa" w:w="2160"/>
            <w:shd w:fill="F2F6FA" w:val="clear"/>
          </w:tcPr>
          <w:p>
            <w:r>
              <w:rPr>
                <w:rFonts w:ascii="Calibri" w:hAnsi="Calibri"/>
                <w:color w:val="333333"/>
                <w:sz w:val="18"/>
              </w:rPr>
              <w:t>VP HR</w:t>
            </w:r>
          </w:p>
        </w:tc>
        <w:tc>
          <w:tcPr>
            <w:tcW w:type="dxa" w:w="4320"/>
            <w:shd w:fill="F2F6FA" w:val="clear"/>
          </w:tcPr>
          <w:p>
            <w:r>
              <w:rPr>
                <w:rFonts w:ascii="Calibri" w:hAnsi="Calibri"/>
                <w:color w:val="333333"/>
                <w:sz w:val="18"/>
              </w:rPr>
              <w:t>Aligned access provisioning with SEC-002.</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HR-012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