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Data Classification and Handling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SEC-005</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SEC-005</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Data Classification and Handling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Vistara employees, contractors, consultants, and third-party affiliates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SEC-001, SEC-006, SEC-009, DATA-001, DATA-004, DATA-007, DATA-008, AI-002, AI-003, ENG-001, LEGAL-006</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The purpose of this Data Classification and Handling Policy (SEC-005) is to establish a framework for classifying and handling data within Vistara Global Systems Pvt. Ltd. (hereinafter 'Vistara' or 'the Company'). Information is a critical asset, and its protection is paramount to maintaining the trust of our customers, partners, and stakeholders. This policy provides detailed instructions on how data should be identified, classified, and secured throughout its lifecycle to prevent unauthorized access, disclosure, alteration, or destruction.</w:t>
      </w:r>
    </w:p>
    <w:p>
      <w:pPr/>
      <w:r>
        <w:t>This policy applies to all locations, including our headquarters in Bengaluru and regional offices in Hyderabad, Pune, Mumbai, Gurugram, Chennai, Kolkata, New Delhi, Singapore, Dubai, London, and Austin.</w:t>
      </w:r>
    </w:p>
    <w:p>
      <w:pPr/>
      <w:r>
        <w:t>The scope includes all physical and electronic data generated, processed, stored, or transmitted by Vistara systems, employees, contractors, and third parties operating on Vistara's behalf. It covers structured and unstructured data across all platforms, including cloud environments, endpoint devices, on-premises servers, and physical archives.</w:t>
      </w:r>
    </w:p>
    <w:p>
      <w:pPr>
        <w:pStyle w:val="Heading1"/>
      </w:pPr>
      <w:r>
        <w:t>2. Data Classification Levels</w:t>
      </w:r>
    </w:p>
    <w:p>
      <w:pPr/>
      <w:r>
        <w:t>Vistara utilizes a four-tier data classification model to ensure that information receives an appropriate level of protection based on its sensitivity, criticality, and the potential impact of its unauthorized disclosure.</w:t>
      </w:r>
    </w:p>
    <w:p>
      <w:pPr>
        <w:pStyle w:val="Heading2"/>
      </w:pPr>
      <w:r>
        <w:t>2.X PUBLIC Data</w:t>
      </w:r>
    </w:p>
    <w:p>
      <w:pPr/>
      <w:r>
        <w:t>Information intended for public consumption and distribution. Disclosure poses no risk to Vistara.</w:t>
      </w:r>
    </w:p>
    <w:p>
      <w:r>
        <w:rPr>
          <w:rFonts w:ascii="Calibri" w:hAnsi="Calibri"/>
          <w:b/>
          <w:color w:val="333333"/>
          <w:sz w:val="22"/>
        </w:rPr>
        <w:t>Examples:</w:t>
      </w:r>
    </w:p>
    <w:p>
      <w:pPr>
        <w:pStyle w:val="ListBullet"/>
      </w:pPr>
      <w:r>
        <w:t>Marketing materials</w:t>
      </w:r>
    </w:p>
    <w:p>
      <w:pPr>
        <w:pStyle w:val="ListBullet"/>
      </w:pPr>
      <w:r>
        <w:t>Published APIs</w:t>
      </w:r>
    </w:p>
    <w:p>
      <w:pPr>
        <w:pStyle w:val="ListBullet"/>
      </w:pPr>
      <w:r>
        <w:t>Press releases</w:t>
      </w:r>
    </w:p>
    <w:p>
      <w:pPr>
        <w:pStyle w:val="ListBullet"/>
      </w:pPr>
      <w:r>
        <w:t>Public job postings</w:t>
      </w:r>
    </w:p>
    <w:p>
      <w:pPr>
        <w:pStyle w:val="ListBullet"/>
      </w:pPr>
      <w:r>
        <w:t>General company background</w:t>
      </w:r>
    </w:p>
    <w:p>
      <w:pPr/>
      <w:r>
        <w:t>The handling of PUBLIC information requires specific adherence to Vistara's information security baseline controls. Any deviation must be logged, documented, and formally approved via an exception request in the IT Service Management platform.</w:t>
      </w:r>
    </w:p>
    <w:p>
      <w:pPr/>
      <w:r>
        <w:t>The handling of PUBLIC information requires specific adherence to Vistara's information security baseline controls. Any deviation must be logged, documented, and formally approved via an exception request in the IT Service Management platform.</w:t>
      </w:r>
    </w:p>
    <w:p>
      <w:pPr/>
      <w:r>
        <w:t>The handling of PUBLIC information requires specific adherence to Vistara's information security baseline controls. Any deviation must be logged, documented, and formally approved via an exception request in the IT Service Management platform.</w:t>
      </w:r>
    </w:p>
    <w:p>
      <w:pPr>
        <w:pStyle w:val="Heading2"/>
      </w:pPr>
      <w:r>
        <w:t>2.X INTERNAL Data</w:t>
      </w:r>
    </w:p>
    <w:p>
      <w:pPr/>
      <w:r>
        <w:t>Information meant for internal use within Vistara. Disclosure could cause minor operational disruption or slight reputational impact.</w:t>
      </w:r>
    </w:p>
    <w:p>
      <w:r>
        <w:rPr>
          <w:rFonts w:ascii="Calibri" w:hAnsi="Calibri"/>
          <w:b/>
          <w:color w:val="333333"/>
          <w:sz w:val="22"/>
        </w:rPr>
        <w:t>Examples:</w:t>
      </w:r>
    </w:p>
    <w:p>
      <w:pPr>
        <w:pStyle w:val="ListBullet"/>
      </w:pPr>
      <w:r>
        <w:t>Internal policies</w:t>
      </w:r>
    </w:p>
    <w:p>
      <w:pPr>
        <w:pStyle w:val="ListBullet"/>
      </w:pPr>
      <w:r>
        <w:t>Org charts</w:t>
      </w:r>
    </w:p>
    <w:p>
      <w:pPr>
        <w:pStyle w:val="ListBullet"/>
      </w:pPr>
      <w:r>
        <w:t>Project plans</w:t>
      </w:r>
    </w:p>
    <w:p>
      <w:pPr>
        <w:pStyle w:val="ListBullet"/>
      </w:pPr>
      <w:r>
        <w:t>Internal communications</w:t>
      </w:r>
    </w:p>
    <w:p>
      <w:pPr>
        <w:pStyle w:val="ListBullet"/>
      </w:pPr>
      <w:r>
        <w:t>Training materials</w:t>
      </w:r>
    </w:p>
    <w:p>
      <w:pPr>
        <w:pStyle w:val="ListBullet"/>
      </w:pPr>
      <w:r>
        <w:t>Company intranet pages</w:t>
      </w:r>
    </w:p>
    <w:p>
      <w:pPr/>
      <w:r>
        <w:t>The handling of INTERNAL information requires specific adherence to Vistara's information security baseline controls. Any deviation must be logged, documented, and formally approved via an exception request in the IT Service Management platform.</w:t>
      </w:r>
    </w:p>
    <w:p>
      <w:pPr/>
      <w:r>
        <w:t>The handling of INTERNAL information requires specific adherence to Vistara's information security baseline controls. Any deviation must be logged, documented, and formally approved via an exception request in the IT Service Management platform.</w:t>
      </w:r>
    </w:p>
    <w:p>
      <w:pPr/>
      <w:r>
        <w:t>The handling of INTERNAL information requires specific adherence to Vistara's information security baseline controls. Any deviation must be logged, documented, and formally approved via an exception request in the IT Service Management platform.</w:t>
      </w:r>
    </w:p>
    <w:p>
      <w:pPr>
        <w:pStyle w:val="Heading2"/>
      </w:pPr>
      <w:r>
        <w:t>2.X CONFIDENTIAL Data</w:t>
      </w:r>
    </w:p>
    <w:p>
      <w:pPr/>
      <w:r>
        <w:t>Sensitive information that must be protected. Access is strictly on a 'need-to-know' basis. Disclosure could lead to regulatory penalties, financial loss, or significant reputational damage.</w:t>
      </w:r>
    </w:p>
    <w:p>
      <w:r>
        <w:rPr>
          <w:rFonts w:ascii="Calibri" w:hAnsi="Calibri"/>
          <w:b/>
          <w:color w:val="333333"/>
          <w:sz w:val="22"/>
        </w:rPr>
        <w:t>Examples:</w:t>
      </w:r>
    </w:p>
    <w:p>
      <w:pPr>
        <w:pStyle w:val="ListBullet"/>
      </w:pPr>
      <w:r>
        <w:t>Customer data</w:t>
      </w:r>
    </w:p>
    <w:p>
      <w:pPr>
        <w:pStyle w:val="ListBullet"/>
      </w:pPr>
      <w:r>
        <w:t>Employee PII</w:t>
      </w:r>
    </w:p>
    <w:p>
      <w:pPr>
        <w:pStyle w:val="ListBullet"/>
      </w:pPr>
      <w:r>
        <w:t>Financial data</w:t>
      </w:r>
    </w:p>
    <w:p>
      <w:pPr>
        <w:pStyle w:val="ListBullet"/>
      </w:pPr>
      <w:r>
        <w:t>Source code</w:t>
      </w:r>
    </w:p>
    <w:p>
      <w:pPr>
        <w:pStyle w:val="ListBullet"/>
      </w:pPr>
      <w:r>
        <w:t>Business strategies</w:t>
      </w:r>
    </w:p>
    <w:p>
      <w:pPr>
        <w:pStyle w:val="ListBullet"/>
      </w:pPr>
      <w:r>
        <w:t>Contracts</w:t>
      </w:r>
    </w:p>
    <w:p>
      <w:pPr>
        <w:pStyle w:val="ListBullet"/>
      </w:pPr>
      <w:r>
        <w:t>Audit reports</w:t>
      </w:r>
    </w:p>
    <w:p>
      <w:pPr>
        <w:pStyle w:val="ListBullet"/>
      </w:pPr>
      <w:r>
        <w:t>System architecture diagrams</w:t>
      </w:r>
    </w:p>
    <w:p>
      <w:pPr/>
      <w:r>
        <w:t>The handling of CONFIDENTIAL information requires specific adherence to Vistara's information security baseline controls. Any deviation must be logged, documented, and formally approved via an exception request in the IT Service Management platform.</w:t>
      </w:r>
    </w:p>
    <w:p>
      <w:pPr/>
      <w:r>
        <w:t>The handling of CONFIDENTIAL information requires specific adherence to Vistara's information security baseline controls. Any deviation must be logged, documented, and formally approved via an exception request in the IT Service Management platform.</w:t>
      </w:r>
    </w:p>
    <w:p>
      <w:pPr/>
      <w:r>
        <w:t>The handling of CONFIDENTIAL information requires specific adherence to Vistara's information security baseline controls. Any deviation must be logged, documented, and formally approved via an exception request in the IT Service Management platform.</w:t>
      </w:r>
    </w:p>
    <w:p>
      <w:pPr>
        <w:pStyle w:val="Heading2"/>
      </w:pPr>
      <w:r>
        <w:t>2.X RESTRICTED Data</w:t>
      </w:r>
    </w:p>
    <w:p>
      <w:pPr/>
      <w:r>
        <w:t>Highly sensitive information requiring the most stringent protection mechanisms. Access is limited to named individuals only. Unauthorized disclosure could threaten the survival or severe legal standing of Vistara.</w:t>
      </w:r>
    </w:p>
    <w:p>
      <w:r>
        <w:rPr>
          <w:rFonts w:ascii="Calibri" w:hAnsi="Calibri"/>
          <w:b/>
          <w:color w:val="333333"/>
          <w:sz w:val="22"/>
        </w:rPr>
        <w:t>Examples:</w:t>
      </w:r>
    </w:p>
    <w:p>
      <w:pPr>
        <w:pStyle w:val="ListBullet"/>
      </w:pPr>
      <w:r>
        <w:t>Cryptographic keys</w:t>
      </w:r>
    </w:p>
    <w:p>
      <w:pPr>
        <w:pStyle w:val="ListBullet"/>
      </w:pPr>
      <w:r>
        <w:t>Production credentials</w:t>
      </w:r>
    </w:p>
    <w:p>
      <w:pPr>
        <w:pStyle w:val="ListBullet"/>
      </w:pPr>
      <w:r>
        <w:t>Security audit findings</w:t>
      </w:r>
    </w:p>
    <w:p>
      <w:pPr>
        <w:pStyle w:val="ListBullet"/>
      </w:pPr>
      <w:r>
        <w:t>M&amp;A data</w:t>
      </w:r>
    </w:p>
    <w:p>
      <w:pPr>
        <w:pStyle w:val="ListBullet"/>
      </w:pPr>
      <w:r>
        <w:t>Board materials</w:t>
      </w:r>
    </w:p>
    <w:p>
      <w:pPr>
        <w:pStyle w:val="ListBullet"/>
      </w:pPr>
      <w:r>
        <w:t>Penetration test results</w:t>
      </w:r>
    </w:p>
    <w:p>
      <w:pPr>
        <w:pStyle w:val="ListBullet"/>
      </w:pPr>
      <w:r>
        <w:t>Trade secrets</w:t>
      </w:r>
    </w:p>
    <w:p>
      <w:pPr/>
      <w:r>
        <w:t>The handling of RESTRICTED information requires specific adherence to Vistara's information security baseline controls. Any deviation must be logged, documented, and formally approved via an exception request in the IT Service Management platform.</w:t>
      </w:r>
    </w:p>
    <w:p>
      <w:pPr/>
      <w:r>
        <w:t>The handling of RESTRICTED information requires specific adherence to Vistara's information security baseline controls. Any deviation must be logged, documented, and formally approved via an exception request in the IT Service Management platform.</w:t>
      </w:r>
    </w:p>
    <w:p>
      <w:pPr/>
      <w:r>
        <w:t>The handling of RESTRICTED information requires specific adherence to Vistara's information security baseline controls. Any deviation must be logged, documented, and formally approved via an exception request in the IT Service Management platform.</w:t>
      </w:r>
    </w:p>
    <w:p>
      <w:pPr>
        <w:pStyle w:val="Heading1"/>
      </w:pPr>
      <w:r>
        <w:t>3. Data Handling Requirements Matrix</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5C" w:val="clear"/>
          </w:tcPr>
          <w:p>
            <w:pPr>
              <w:jc w:val="center"/>
            </w:pPr>
            <w:r>
              <w:rPr>
                <w:rFonts w:ascii="Calibri" w:hAnsi="Calibri"/>
                <w:b/>
                <w:color w:val="FFFFFF"/>
                <w:sz w:val="20"/>
              </w:rPr>
              <w:t>Lifecycle Phase</w:t>
            </w:r>
          </w:p>
        </w:tc>
        <w:tc>
          <w:tcPr>
            <w:tcW w:type="dxa" w:w="1728"/>
            <w:shd w:fill="1B3A5C" w:val="clear"/>
          </w:tcPr>
          <w:p>
            <w:pPr>
              <w:jc w:val="center"/>
            </w:pPr>
            <w:r>
              <w:rPr>
                <w:rFonts w:ascii="Calibri" w:hAnsi="Calibri"/>
                <w:b/>
                <w:color w:val="FFFFFF"/>
                <w:sz w:val="20"/>
              </w:rPr>
              <w:t>PUBLIC</w:t>
            </w:r>
          </w:p>
        </w:tc>
        <w:tc>
          <w:tcPr>
            <w:tcW w:type="dxa" w:w="1728"/>
            <w:shd w:fill="1B3A5C" w:val="clear"/>
          </w:tcPr>
          <w:p>
            <w:pPr>
              <w:jc w:val="center"/>
            </w:pPr>
            <w:r>
              <w:rPr>
                <w:rFonts w:ascii="Calibri" w:hAnsi="Calibri"/>
                <w:b/>
                <w:color w:val="FFFFFF"/>
                <w:sz w:val="20"/>
              </w:rPr>
              <w:t>INTERNAL</w:t>
            </w:r>
          </w:p>
        </w:tc>
        <w:tc>
          <w:tcPr>
            <w:tcW w:type="dxa" w:w="2160"/>
            <w:shd w:fill="1B3A5C" w:val="clear"/>
          </w:tcPr>
          <w:p>
            <w:pPr>
              <w:jc w:val="center"/>
            </w:pPr>
            <w:r>
              <w:rPr>
                <w:rFonts w:ascii="Calibri" w:hAnsi="Calibri"/>
                <w:b/>
                <w:color w:val="FFFFFF"/>
                <w:sz w:val="20"/>
              </w:rPr>
              <w:t>CONFIDENTIAL</w:t>
            </w:r>
          </w:p>
        </w:tc>
        <w:tc>
          <w:tcPr>
            <w:tcW w:type="dxa" w:w="2160"/>
            <w:shd w:fill="1B3A5C" w:val="clear"/>
          </w:tcPr>
          <w:p>
            <w:pPr>
              <w:jc w:val="center"/>
            </w:pPr>
            <w:r>
              <w:rPr>
                <w:rFonts w:ascii="Calibri" w:hAnsi="Calibri"/>
                <w:b/>
                <w:color w:val="FFFFFF"/>
                <w:sz w:val="20"/>
              </w:rPr>
              <w:t>RESTRICTED</w:t>
            </w:r>
          </w:p>
        </w:tc>
      </w:tr>
      <w:tr>
        <w:tc>
          <w:tcPr>
            <w:tcW w:type="dxa" w:w="1440"/>
          </w:tcPr>
          <w:p>
            <w:r>
              <w:rPr>
                <w:rFonts w:ascii="Calibri" w:hAnsi="Calibri"/>
                <w:color w:val="333333"/>
                <w:sz w:val="18"/>
              </w:rPr>
              <w:t>Storage</w:t>
            </w:r>
          </w:p>
        </w:tc>
        <w:tc>
          <w:tcPr>
            <w:tcW w:type="dxa" w:w="1728"/>
          </w:tcPr>
          <w:p>
            <w:r>
              <w:rPr>
                <w:rFonts w:ascii="Calibri" w:hAnsi="Calibri"/>
                <w:color w:val="333333"/>
                <w:sz w:val="18"/>
              </w:rPr>
              <w:t>No restriction</w:t>
            </w:r>
          </w:p>
        </w:tc>
        <w:tc>
          <w:tcPr>
            <w:tcW w:type="dxa" w:w="1728"/>
          </w:tcPr>
          <w:p>
            <w:r>
              <w:rPr>
                <w:rFonts w:ascii="Calibri" w:hAnsi="Calibri"/>
                <w:color w:val="333333"/>
                <w:sz w:val="18"/>
              </w:rPr>
              <w:t>Vistara standard storage</w:t>
            </w:r>
          </w:p>
        </w:tc>
        <w:tc>
          <w:tcPr>
            <w:tcW w:type="dxa" w:w="2160"/>
          </w:tcPr>
          <w:p>
            <w:r>
              <w:rPr>
                <w:rFonts w:ascii="Calibri" w:hAnsi="Calibri"/>
                <w:color w:val="333333"/>
                <w:sz w:val="18"/>
              </w:rPr>
              <w:t>Encrypted at rest (AES-256). Approved internal systems only.</w:t>
            </w:r>
          </w:p>
        </w:tc>
        <w:tc>
          <w:tcPr>
            <w:tcW w:type="dxa" w:w="2160"/>
          </w:tcPr>
          <w:p>
            <w:r>
              <w:rPr>
                <w:rFonts w:ascii="Calibri" w:hAnsi="Calibri"/>
                <w:color w:val="333333"/>
                <w:sz w:val="18"/>
              </w:rPr>
              <w:t>Encrypted at rest. Multi-factor auth required for access. Strict segregation. No public cloud.</w:t>
            </w:r>
          </w:p>
        </w:tc>
      </w:tr>
      <w:tr>
        <w:tc>
          <w:tcPr>
            <w:tcW w:type="dxa" w:w="1440"/>
            <w:shd w:fill="F2F6FA" w:val="clear"/>
          </w:tcPr>
          <w:p>
            <w:r>
              <w:rPr>
                <w:rFonts w:ascii="Calibri" w:hAnsi="Calibri"/>
                <w:color w:val="333333"/>
                <w:sz w:val="18"/>
              </w:rPr>
              <w:t>Transmission</w:t>
            </w:r>
          </w:p>
        </w:tc>
        <w:tc>
          <w:tcPr>
            <w:tcW w:type="dxa" w:w="1728"/>
            <w:shd w:fill="F2F6FA" w:val="clear"/>
          </w:tcPr>
          <w:p>
            <w:r>
              <w:rPr>
                <w:rFonts w:ascii="Calibri" w:hAnsi="Calibri"/>
                <w:color w:val="333333"/>
                <w:sz w:val="18"/>
              </w:rPr>
              <w:t>Cleartext permitted</w:t>
            </w:r>
          </w:p>
        </w:tc>
        <w:tc>
          <w:tcPr>
            <w:tcW w:type="dxa" w:w="1728"/>
            <w:shd w:fill="F2F6FA" w:val="clear"/>
          </w:tcPr>
          <w:p>
            <w:r>
              <w:rPr>
                <w:rFonts w:ascii="Calibri" w:hAnsi="Calibri"/>
                <w:color w:val="333333"/>
                <w:sz w:val="18"/>
              </w:rPr>
              <w:t>TLS 1.2+ recommended</w:t>
            </w:r>
          </w:p>
        </w:tc>
        <w:tc>
          <w:tcPr>
            <w:tcW w:type="dxa" w:w="2160"/>
            <w:shd w:fill="F2F6FA" w:val="clear"/>
          </w:tcPr>
          <w:p>
            <w:r>
              <w:rPr>
                <w:rFonts w:ascii="Calibri" w:hAnsi="Calibri"/>
                <w:color w:val="333333"/>
                <w:sz w:val="18"/>
              </w:rPr>
              <w:t>TLS 1.2+ mandatory. Internal networks preferred.</w:t>
            </w:r>
          </w:p>
        </w:tc>
        <w:tc>
          <w:tcPr>
            <w:tcW w:type="dxa" w:w="2160"/>
            <w:shd w:fill="F2F6FA" w:val="clear"/>
          </w:tcPr>
          <w:p>
            <w:r>
              <w:rPr>
                <w:rFonts w:ascii="Calibri" w:hAnsi="Calibri"/>
                <w:color w:val="333333"/>
                <w:sz w:val="18"/>
              </w:rPr>
              <w:t>TLS 1.3 mandatory. End-to-end encryption. VPN or direct circuits only.</w:t>
            </w:r>
          </w:p>
        </w:tc>
      </w:tr>
      <w:tr>
        <w:tc>
          <w:tcPr>
            <w:tcW w:type="dxa" w:w="1440"/>
          </w:tcPr>
          <w:p>
            <w:r>
              <w:rPr>
                <w:rFonts w:ascii="Calibri" w:hAnsi="Calibri"/>
                <w:color w:val="333333"/>
                <w:sz w:val="18"/>
              </w:rPr>
              <w:t>Disposal</w:t>
            </w:r>
          </w:p>
        </w:tc>
        <w:tc>
          <w:tcPr>
            <w:tcW w:type="dxa" w:w="1728"/>
          </w:tcPr>
          <w:p>
            <w:r>
              <w:rPr>
                <w:rFonts w:ascii="Calibri" w:hAnsi="Calibri"/>
                <w:color w:val="333333"/>
                <w:sz w:val="18"/>
              </w:rPr>
              <w:t>Standard deletion</w:t>
            </w:r>
          </w:p>
        </w:tc>
        <w:tc>
          <w:tcPr>
            <w:tcW w:type="dxa" w:w="1728"/>
          </w:tcPr>
          <w:p>
            <w:r>
              <w:rPr>
                <w:rFonts w:ascii="Calibri" w:hAnsi="Calibri"/>
                <w:color w:val="333333"/>
                <w:sz w:val="18"/>
              </w:rPr>
              <w:t>Standard deletion. Secure shred bins for paper.</w:t>
            </w:r>
          </w:p>
        </w:tc>
        <w:tc>
          <w:tcPr>
            <w:tcW w:type="dxa" w:w="2160"/>
          </w:tcPr>
          <w:p>
            <w:r>
              <w:rPr>
                <w:rFonts w:ascii="Calibri" w:hAnsi="Calibri"/>
                <w:color w:val="333333"/>
                <w:sz w:val="18"/>
              </w:rPr>
              <w:t>Secure wipe (NIST 800-88). Cross-cut shredding for paper.</w:t>
            </w:r>
          </w:p>
        </w:tc>
        <w:tc>
          <w:tcPr>
            <w:tcW w:type="dxa" w:w="2160"/>
          </w:tcPr>
          <w:p>
            <w:r>
              <w:rPr>
                <w:rFonts w:ascii="Calibri" w:hAnsi="Calibri"/>
                <w:color w:val="333333"/>
                <w:sz w:val="18"/>
              </w:rPr>
              <w:t>Cryptographic erasure + physical destruction of media. Certificate required.</w:t>
            </w:r>
          </w:p>
        </w:tc>
      </w:tr>
      <w:tr>
        <w:tc>
          <w:tcPr>
            <w:tcW w:type="dxa" w:w="1440"/>
            <w:shd w:fill="F2F6FA" w:val="clear"/>
          </w:tcPr>
          <w:p>
            <w:r>
              <w:rPr>
                <w:rFonts w:ascii="Calibri" w:hAnsi="Calibri"/>
                <w:color w:val="333333"/>
                <w:sz w:val="18"/>
              </w:rPr>
              <w:t>Access Control</w:t>
            </w:r>
          </w:p>
        </w:tc>
        <w:tc>
          <w:tcPr>
            <w:tcW w:type="dxa" w:w="1728"/>
            <w:shd w:fill="F2F6FA" w:val="clear"/>
          </w:tcPr>
          <w:p>
            <w:r>
              <w:rPr>
                <w:rFonts w:ascii="Calibri" w:hAnsi="Calibri"/>
                <w:color w:val="333333"/>
                <w:sz w:val="18"/>
              </w:rPr>
              <w:t>None</w:t>
            </w:r>
          </w:p>
        </w:tc>
        <w:tc>
          <w:tcPr>
            <w:tcW w:type="dxa" w:w="1728"/>
            <w:shd w:fill="F2F6FA" w:val="clear"/>
          </w:tcPr>
          <w:p>
            <w:r>
              <w:rPr>
                <w:rFonts w:ascii="Calibri" w:hAnsi="Calibri"/>
                <w:color w:val="333333"/>
                <w:sz w:val="18"/>
              </w:rPr>
              <w:t>Vistara SSO / AD login</w:t>
            </w:r>
          </w:p>
        </w:tc>
        <w:tc>
          <w:tcPr>
            <w:tcW w:type="dxa" w:w="2160"/>
            <w:shd w:fill="F2F6FA" w:val="clear"/>
          </w:tcPr>
          <w:p>
            <w:r>
              <w:rPr>
                <w:rFonts w:ascii="Calibri" w:hAnsi="Calibri"/>
                <w:color w:val="333333"/>
                <w:sz w:val="18"/>
              </w:rPr>
              <w:t>RBAC, Need-to-know, periodic review</w:t>
            </w:r>
          </w:p>
        </w:tc>
        <w:tc>
          <w:tcPr>
            <w:tcW w:type="dxa" w:w="2160"/>
            <w:shd w:fill="F2F6FA" w:val="clear"/>
          </w:tcPr>
          <w:p>
            <w:r>
              <w:rPr>
                <w:rFonts w:ascii="Calibri" w:hAnsi="Calibri"/>
                <w:color w:val="333333"/>
                <w:sz w:val="18"/>
              </w:rPr>
              <w:t>Named individual access, MFA, CISO approval required, strict audit.</w:t>
            </w:r>
          </w:p>
        </w:tc>
      </w:tr>
      <w:tr>
        <w:tc>
          <w:tcPr>
            <w:tcW w:type="dxa" w:w="1440"/>
          </w:tcPr>
          <w:p>
            <w:r>
              <w:rPr>
                <w:rFonts w:ascii="Calibri" w:hAnsi="Calibri"/>
                <w:color w:val="333333"/>
                <w:sz w:val="18"/>
              </w:rPr>
              <w:t>Labeling</w:t>
            </w:r>
          </w:p>
        </w:tc>
        <w:tc>
          <w:tcPr>
            <w:tcW w:type="dxa" w:w="1728"/>
          </w:tcPr>
          <w:p>
            <w:r>
              <w:rPr>
                <w:rFonts w:ascii="Calibri" w:hAnsi="Calibri"/>
                <w:color w:val="333333"/>
                <w:sz w:val="18"/>
              </w:rPr>
              <w:t>Optional</w:t>
            </w:r>
          </w:p>
        </w:tc>
        <w:tc>
          <w:tcPr>
            <w:tcW w:type="dxa" w:w="1728"/>
          </w:tcPr>
          <w:p>
            <w:r>
              <w:rPr>
                <w:rFonts w:ascii="Calibri" w:hAnsi="Calibri"/>
                <w:color w:val="333333"/>
                <w:sz w:val="18"/>
              </w:rPr>
              <w:t>Recommended on docs</w:t>
            </w:r>
          </w:p>
        </w:tc>
        <w:tc>
          <w:tcPr>
            <w:tcW w:type="dxa" w:w="2160"/>
          </w:tcPr>
          <w:p>
            <w:r>
              <w:rPr>
                <w:rFonts w:ascii="Calibri" w:hAnsi="Calibri"/>
                <w:color w:val="333333"/>
                <w:sz w:val="18"/>
              </w:rPr>
              <w:t>Mandatory visual marking / metadata</w:t>
            </w:r>
          </w:p>
        </w:tc>
        <w:tc>
          <w:tcPr>
            <w:tcW w:type="dxa" w:w="2160"/>
          </w:tcPr>
          <w:p>
            <w:r>
              <w:rPr>
                <w:rFonts w:ascii="Calibri" w:hAnsi="Calibri"/>
                <w:color w:val="333333"/>
                <w:sz w:val="18"/>
              </w:rPr>
              <w:t>Mandatory visual marking, digital watermarking, explicit metadata tags.</w:t>
            </w:r>
          </w:p>
        </w:tc>
      </w:tr>
      <w:tr>
        <w:tc>
          <w:tcPr>
            <w:tcW w:type="dxa" w:w="1440"/>
            <w:shd w:fill="F2F6FA" w:val="clear"/>
          </w:tcPr>
          <w:p>
            <w:r>
              <w:rPr>
                <w:rFonts w:ascii="Calibri" w:hAnsi="Calibri"/>
                <w:color w:val="333333"/>
                <w:sz w:val="18"/>
              </w:rPr>
              <w:t>Cloud Storage</w:t>
            </w:r>
          </w:p>
        </w:tc>
        <w:tc>
          <w:tcPr>
            <w:tcW w:type="dxa" w:w="1728"/>
            <w:shd w:fill="F2F6FA" w:val="clear"/>
          </w:tcPr>
          <w:p>
            <w:r>
              <w:rPr>
                <w:rFonts w:ascii="Calibri" w:hAnsi="Calibri"/>
                <w:color w:val="333333"/>
                <w:sz w:val="18"/>
              </w:rPr>
              <w:t>Allowed</w:t>
            </w:r>
          </w:p>
        </w:tc>
        <w:tc>
          <w:tcPr>
            <w:tcW w:type="dxa" w:w="1728"/>
            <w:shd w:fill="F2F6FA" w:val="clear"/>
          </w:tcPr>
          <w:p>
            <w:r>
              <w:rPr>
                <w:rFonts w:ascii="Calibri" w:hAnsi="Calibri"/>
                <w:color w:val="333333"/>
                <w:sz w:val="18"/>
              </w:rPr>
              <w:t>Vistara approved cloud</w:t>
            </w:r>
          </w:p>
        </w:tc>
        <w:tc>
          <w:tcPr>
            <w:tcW w:type="dxa" w:w="2160"/>
            <w:shd w:fill="F2F6FA" w:val="clear"/>
          </w:tcPr>
          <w:p>
            <w:r>
              <w:rPr>
                <w:rFonts w:ascii="Calibri" w:hAnsi="Calibri"/>
                <w:color w:val="333333"/>
                <w:sz w:val="18"/>
              </w:rPr>
              <w:t>Approved cloud with Customer Managed Keys</w:t>
            </w:r>
          </w:p>
        </w:tc>
        <w:tc>
          <w:tcPr>
            <w:tcW w:type="dxa" w:w="2160"/>
            <w:shd w:fill="F2F6FA" w:val="clear"/>
          </w:tcPr>
          <w:p>
            <w:r>
              <w:rPr>
                <w:rFonts w:ascii="Calibri" w:hAnsi="Calibri"/>
                <w:color w:val="333333"/>
                <w:sz w:val="18"/>
              </w:rPr>
              <w:t>Explicitly prohibited unless specialized CISO exception granted.</w:t>
            </w:r>
          </w:p>
        </w:tc>
      </w:tr>
      <w:tr>
        <w:tc>
          <w:tcPr>
            <w:tcW w:type="dxa" w:w="1440"/>
          </w:tcPr>
          <w:p>
            <w:r>
              <w:rPr>
                <w:rFonts w:ascii="Calibri" w:hAnsi="Calibri"/>
                <w:color w:val="333333"/>
                <w:sz w:val="18"/>
              </w:rPr>
              <w:t>Emailing</w:t>
            </w:r>
          </w:p>
        </w:tc>
        <w:tc>
          <w:tcPr>
            <w:tcW w:type="dxa" w:w="1728"/>
          </w:tcPr>
          <w:p>
            <w:r>
              <w:rPr>
                <w:rFonts w:ascii="Calibri" w:hAnsi="Calibri"/>
                <w:color w:val="333333"/>
                <w:sz w:val="18"/>
              </w:rPr>
              <w:t>No restriction</w:t>
            </w:r>
          </w:p>
        </w:tc>
        <w:tc>
          <w:tcPr>
            <w:tcW w:type="dxa" w:w="1728"/>
          </w:tcPr>
          <w:p>
            <w:r>
              <w:rPr>
                <w:rFonts w:ascii="Calibri" w:hAnsi="Calibri"/>
                <w:color w:val="333333"/>
                <w:sz w:val="18"/>
              </w:rPr>
              <w:t>Standard corporate email</w:t>
            </w:r>
          </w:p>
        </w:tc>
        <w:tc>
          <w:tcPr>
            <w:tcW w:type="dxa" w:w="2160"/>
          </w:tcPr>
          <w:p>
            <w:r>
              <w:rPr>
                <w:rFonts w:ascii="Calibri" w:hAnsi="Calibri"/>
                <w:color w:val="333333"/>
                <w:sz w:val="18"/>
              </w:rPr>
              <w:t>Encrypted email if external</w:t>
            </w:r>
          </w:p>
        </w:tc>
        <w:tc>
          <w:tcPr>
            <w:tcW w:type="dxa" w:w="2160"/>
          </w:tcPr>
          <w:p>
            <w:r>
              <w:rPr>
                <w:rFonts w:ascii="Calibri" w:hAnsi="Calibri"/>
                <w:color w:val="333333"/>
                <w:sz w:val="18"/>
              </w:rPr>
              <w:t>Prohibited via email. Use secure file transfer (SFTP/Vistara Vault).</w:t>
            </w:r>
          </w:p>
        </w:tc>
      </w:tr>
      <w:tr>
        <w:tc>
          <w:tcPr>
            <w:tcW w:type="dxa" w:w="1440"/>
            <w:shd w:fill="F2F6FA" w:val="clear"/>
          </w:tcPr>
          <w:p>
            <w:r>
              <w:rPr>
                <w:rFonts w:ascii="Calibri" w:hAnsi="Calibri"/>
                <w:color w:val="333333"/>
                <w:sz w:val="18"/>
              </w:rPr>
              <w:t>Printing</w:t>
            </w:r>
          </w:p>
        </w:tc>
        <w:tc>
          <w:tcPr>
            <w:tcW w:type="dxa" w:w="1728"/>
            <w:shd w:fill="F2F6FA" w:val="clear"/>
          </w:tcPr>
          <w:p>
            <w:r>
              <w:rPr>
                <w:rFonts w:ascii="Calibri" w:hAnsi="Calibri"/>
                <w:color w:val="333333"/>
                <w:sz w:val="18"/>
              </w:rPr>
              <w:t>Allowed</w:t>
            </w:r>
          </w:p>
        </w:tc>
        <w:tc>
          <w:tcPr>
            <w:tcW w:type="dxa" w:w="1728"/>
            <w:shd w:fill="F2F6FA" w:val="clear"/>
          </w:tcPr>
          <w:p>
            <w:r>
              <w:rPr>
                <w:rFonts w:ascii="Calibri" w:hAnsi="Calibri"/>
                <w:color w:val="333333"/>
                <w:sz w:val="18"/>
              </w:rPr>
              <w:t>Allowed via Follow-Me</w:t>
            </w:r>
          </w:p>
        </w:tc>
        <w:tc>
          <w:tcPr>
            <w:tcW w:type="dxa" w:w="2160"/>
            <w:shd w:fill="F2F6FA" w:val="clear"/>
          </w:tcPr>
          <w:p>
            <w:r>
              <w:rPr>
                <w:rFonts w:ascii="Calibri" w:hAnsi="Calibri"/>
                <w:color w:val="333333"/>
                <w:sz w:val="18"/>
              </w:rPr>
              <w:t>Restricted. Prompt collection.</w:t>
            </w:r>
          </w:p>
        </w:tc>
        <w:tc>
          <w:tcPr>
            <w:tcW w:type="dxa" w:w="2160"/>
            <w:shd w:fill="F2F6FA" w:val="clear"/>
          </w:tcPr>
          <w:p>
            <w:r>
              <w:rPr>
                <w:rFonts w:ascii="Calibri" w:hAnsi="Calibri"/>
                <w:color w:val="333333"/>
                <w:sz w:val="18"/>
              </w:rPr>
              <w:t>Prohibited. Exceptions require VP approval.</w:t>
            </w:r>
          </w:p>
        </w:tc>
      </w:tr>
      <w:tr>
        <w:tc>
          <w:tcPr>
            <w:tcW w:type="dxa" w:w="1440"/>
          </w:tcPr>
          <w:p>
            <w:r>
              <w:rPr>
                <w:rFonts w:ascii="Calibri" w:hAnsi="Calibri"/>
                <w:color w:val="333333"/>
                <w:sz w:val="18"/>
              </w:rPr>
              <w:t>Archival</w:t>
            </w:r>
          </w:p>
        </w:tc>
        <w:tc>
          <w:tcPr>
            <w:tcW w:type="dxa" w:w="1728"/>
          </w:tcPr>
          <w:p>
            <w:r>
              <w:rPr>
                <w:rFonts w:ascii="Calibri" w:hAnsi="Calibri"/>
                <w:color w:val="333333"/>
                <w:sz w:val="18"/>
              </w:rPr>
              <w:t>Standard</w:t>
            </w:r>
          </w:p>
        </w:tc>
        <w:tc>
          <w:tcPr>
            <w:tcW w:type="dxa" w:w="1728"/>
          </w:tcPr>
          <w:p>
            <w:r>
              <w:rPr>
                <w:rFonts w:ascii="Calibri" w:hAnsi="Calibri"/>
                <w:color w:val="333333"/>
                <w:sz w:val="18"/>
              </w:rPr>
              <w:t>Standard Backup</w:t>
            </w:r>
          </w:p>
        </w:tc>
        <w:tc>
          <w:tcPr>
            <w:tcW w:type="dxa" w:w="2160"/>
          </w:tcPr>
          <w:p>
            <w:r>
              <w:rPr>
                <w:rFonts w:ascii="Calibri" w:hAnsi="Calibri"/>
                <w:color w:val="333333"/>
                <w:sz w:val="18"/>
              </w:rPr>
              <w:t>Encrypted backup, 30-day retention minimum</w:t>
            </w:r>
          </w:p>
        </w:tc>
        <w:tc>
          <w:tcPr>
            <w:tcW w:type="dxa" w:w="2160"/>
          </w:tcPr>
          <w:p>
            <w:r>
              <w:rPr>
                <w:rFonts w:ascii="Calibri" w:hAnsi="Calibri"/>
                <w:color w:val="333333"/>
                <w:sz w:val="18"/>
              </w:rPr>
              <w:t>Encrypted backup, offline immutable storage, strictly monitored</w:t>
            </w:r>
          </w:p>
        </w:tc>
      </w:tr>
      <w:tr>
        <w:tc>
          <w:tcPr>
            <w:tcW w:type="dxa" w:w="1440"/>
            <w:shd w:fill="F2F6FA" w:val="clear"/>
          </w:tcPr>
          <w:p>
            <w:r>
              <w:rPr>
                <w:rFonts w:ascii="Calibri" w:hAnsi="Calibri"/>
                <w:color w:val="333333"/>
                <w:sz w:val="18"/>
              </w:rPr>
              <w:t>Backup</w:t>
            </w:r>
          </w:p>
        </w:tc>
        <w:tc>
          <w:tcPr>
            <w:tcW w:type="dxa" w:w="1728"/>
            <w:shd w:fill="F2F6FA" w:val="clear"/>
          </w:tcPr>
          <w:p>
            <w:r>
              <w:rPr>
                <w:rFonts w:ascii="Calibri" w:hAnsi="Calibri"/>
                <w:color w:val="333333"/>
                <w:sz w:val="18"/>
              </w:rPr>
              <w:t>Standard</w:t>
            </w:r>
          </w:p>
        </w:tc>
        <w:tc>
          <w:tcPr>
            <w:tcW w:type="dxa" w:w="1728"/>
            <w:shd w:fill="F2F6FA" w:val="clear"/>
          </w:tcPr>
          <w:p>
            <w:r>
              <w:rPr>
                <w:rFonts w:ascii="Calibri" w:hAnsi="Calibri"/>
                <w:color w:val="333333"/>
                <w:sz w:val="18"/>
              </w:rPr>
              <w:t>Standard Backup</w:t>
            </w:r>
          </w:p>
        </w:tc>
        <w:tc>
          <w:tcPr>
            <w:tcW w:type="dxa" w:w="2160"/>
            <w:shd w:fill="F2F6FA" w:val="clear"/>
          </w:tcPr>
          <w:p>
            <w:r>
              <w:rPr>
                <w:rFonts w:ascii="Calibri" w:hAnsi="Calibri"/>
                <w:color w:val="333333"/>
                <w:sz w:val="18"/>
              </w:rPr>
              <w:t>Encrypted backup, 30-day retention minimum</w:t>
            </w:r>
          </w:p>
        </w:tc>
        <w:tc>
          <w:tcPr>
            <w:tcW w:type="dxa" w:w="2160"/>
            <w:shd w:fill="F2F6FA" w:val="clear"/>
          </w:tcPr>
          <w:p>
            <w:r>
              <w:rPr>
                <w:rFonts w:ascii="Calibri" w:hAnsi="Calibri"/>
                <w:color w:val="333333"/>
                <w:sz w:val="18"/>
              </w:rPr>
              <w:t>Encrypted backup, offline immutable storage, strictly monitored</w:t>
            </w:r>
          </w:p>
        </w:tc>
      </w:tr>
      <w:tr>
        <w:tc>
          <w:tcPr>
            <w:tcW w:type="dxa" w:w="1440"/>
          </w:tcPr>
          <w:p>
            <w:r>
              <w:rPr>
                <w:rFonts w:ascii="Calibri" w:hAnsi="Calibri"/>
                <w:color w:val="333333"/>
                <w:sz w:val="18"/>
              </w:rPr>
              <w:t>Mobile Devices</w:t>
            </w:r>
          </w:p>
        </w:tc>
        <w:tc>
          <w:tcPr>
            <w:tcW w:type="dxa" w:w="1728"/>
          </w:tcPr>
          <w:p>
            <w:r>
              <w:rPr>
                <w:rFonts w:ascii="Calibri" w:hAnsi="Calibri"/>
                <w:color w:val="333333"/>
                <w:sz w:val="18"/>
              </w:rPr>
              <w:t>Standard</w:t>
            </w:r>
          </w:p>
        </w:tc>
        <w:tc>
          <w:tcPr>
            <w:tcW w:type="dxa" w:w="1728"/>
          </w:tcPr>
          <w:p>
            <w:r>
              <w:rPr>
                <w:rFonts w:ascii="Calibri" w:hAnsi="Calibri"/>
                <w:color w:val="333333"/>
                <w:sz w:val="18"/>
              </w:rPr>
              <w:t>Standard Backup</w:t>
            </w:r>
          </w:p>
        </w:tc>
        <w:tc>
          <w:tcPr>
            <w:tcW w:type="dxa" w:w="2160"/>
          </w:tcPr>
          <w:p>
            <w:r>
              <w:rPr>
                <w:rFonts w:ascii="Calibri" w:hAnsi="Calibri"/>
                <w:color w:val="333333"/>
                <w:sz w:val="18"/>
              </w:rPr>
              <w:t>Encrypted backup, 30-day retention minimum</w:t>
            </w:r>
          </w:p>
        </w:tc>
        <w:tc>
          <w:tcPr>
            <w:tcW w:type="dxa" w:w="2160"/>
          </w:tcPr>
          <w:p>
            <w:r>
              <w:rPr>
                <w:rFonts w:ascii="Calibri" w:hAnsi="Calibri"/>
                <w:color w:val="333333"/>
                <w:sz w:val="18"/>
              </w:rPr>
              <w:t>Encrypted backup, offline immutable storage, strictly monitored</w:t>
            </w:r>
          </w:p>
        </w:tc>
      </w:tr>
      <w:tr>
        <w:tc>
          <w:tcPr>
            <w:tcW w:type="dxa" w:w="1440"/>
            <w:shd w:fill="F2F6FA" w:val="clear"/>
          </w:tcPr>
          <w:p>
            <w:r>
              <w:rPr>
                <w:rFonts w:ascii="Calibri" w:hAnsi="Calibri"/>
                <w:color w:val="333333"/>
                <w:sz w:val="18"/>
              </w:rPr>
              <w:t>Third-party Sharing</w:t>
            </w:r>
          </w:p>
        </w:tc>
        <w:tc>
          <w:tcPr>
            <w:tcW w:type="dxa" w:w="1728"/>
            <w:shd w:fill="F2F6FA" w:val="clear"/>
          </w:tcPr>
          <w:p>
            <w:r>
              <w:rPr>
                <w:rFonts w:ascii="Calibri" w:hAnsi="Calibri"/>
                <w:color w:val="333333"/>
                <w:sz w:val="18"/>
              </w:rPr>
              <w:t>Standard</w:t>
            </w:r>
          </w:p>
        </w:tc>
        <w:tc>
          <w:tcPr>
            <w:tcW w:type="dxa" w:w="1728"/>
            <w:shd w:fill="F2F6FA" w:val="clear"/>
          </w:tcPr>
          <w:p>
            <w:r>
              <w:rPr>
                <w:rFonts w:ascii="Calibri" w:hAnsi="Calibri"/>
                <w:color w:val="333333"/>
                <w:sz w:val="18"/>
              </w:rPr>
              <w:t>Standard Backup</w:t>
            </w:r>
          </w:p>
        </w:tc>
        <w:tc>
          <w:tcPr>
            <w:tcW w:type="dxa" w:w="2160"/>
            <w:shd w:fill="F2F6FA" w:val="clear"/>
          </w:tcPr>
          <w:p>
            <w:r>
              <w:rPr>
                <w:rFonts w:ascii="Calibri" w:hAnsi="Calibri"/>
                <w:color w:val="333333"/>
                <w:sz w:val="18"/>
              </w:rPr>
              <w:t>Encrypted backup, 30-day retention minimum</w:t>
            </w:r>
          </w:p>
        </w:tc>
        <w:tc>
          <w:tcPr>
            <w:tcW w:type="dxa" w:w="2160"/>
            <w:shd w:fill="F2F6FA" w:val="clear"/>
          </w:tcPr>
          <w:p>
            <w:r>
              <w:rPr>
                <w:rFonts w:ascii="Calibri" w:hAnsi="Calibri"/>
                <w:color w:val="333333"/>
                <w:sz w:val="18"/>
              </w:rPr>
              <w:t>Encrypted backup, offline immutable storage, strictly monitored</w:t>
            </w:r>
          </w:p>
        </w:tc>
      </w:tr>
      <w:tr>
        <w:tc>
          <w:tcPr>
            <w:tcW w:type="dxa" w:w="1440"/>
          </w:tcPr>
          <w:p>
            <w:r>
              <w:rPr>
                <w:rFonts w:ascii="Calibri" w:hAnsi="Calibri"/>
                <w:color w:val="333333"/>
                <w:sz w:val="18"/>
              </w:rPr>
              <w:t>Remote Access</w:t>
            </w:r>
          </w:p>
        </w:tc>
        <w:tc>
          <w:tcPr>
            <w:tcW w:type="dxa" w:w="1728"/>
          </w:tcPr>
          <w:p>
            <w:r>
              <w:rPr>
                <w:rFonts w:ascii="Calibri" w:hAnsi="Calibri"/>
                <w:color w:val="333333"/>
                <w:sz w:val="18"/>
              </w:rPr>
              <w:t>Standard</w:t>
            </w:r>
          </w:p>
        </w:tc>
        <w:tc>
          <w:tcPr>
            <w:tcW w:type="dxa" w:w="1728"/>
          </w:tcPr>
          <w:p>
            <w:r>
              <w:rPr>
                <w:rFonts w:ascii="Calibri" w:hAnsi="Calibri"/>
                <w:color w:val="333333"/>
                <w:sz w:val="18"/>
              </w:rPr>
              <w:t>Standard Backup</w:t>
            </w:r>
          </w:p>
        </w:tc>
        <w:tc>
          <w:tcPr>
            <w:tcW w:type="dxa" w:w="2160"/>
          </w:tcPr>
          <w:p>
            <w:r>
              <w:rPr>
                <w:rFonts w:ascii="Calibri" w:hAnsi="Calibri"/>
                <w:color w:val="333333"/>
                <w:sz w:val="18"/>
              </w:rPr>
              <w:t>Encrypted backup, 30-day retention minimum</w:t>
            </w:r>
          </w:p>
        </w:tc>
        <w:tc>
          <w:tcPr>
            <w:tcW w:type="dxa" w:w="2160"/>
          </w:tcPr>
          <w:p>
            <w:r>
              <w:rPr>
                <w:rFonts w:ascii="Calibri" w:hAnsi="Calibri"/>
                <w:color w:val="333333"/>
                <w:sz w:val="18"/>
              </w:rPr>
              <w:t>Encrypted backup, offline immutable storage, strictly monitored</w:t>
            </w:r>
          </w:p>
        </w:tc>
      </w:tr>
    </w:tbl>
    <w:p/>
    <w:p>
      <w:pPr>
        <w:pStyle w:val="Heading1"/>
      </w:pPr>
      <w:r>
        <w:t>4. Roles and Responsibilities</w:t>
      </w:r>
    </w:p>
    <w:p>
      <w:pPr>
        <w:pStyle w:val="Heading2"/>
      </w:pPr>
      <w:r>
        <w:t>4.1 Data Owner</w:t>
      </w:r>
    </w:p>
    <w:p>
      <w:pPr/>
      <w:r>
        <w:t>The Data Owner is a senior stakeholder (typically Director level or above) accountable for the data within their business unit. Responsibilities include defining the classification level, authorizing access, determining retention periods, and ensuring compliance with regulatory requirements.</w:t>
      </w:r>
    </w:p>
    <w:p>
      <w:pPr>
        <w:pStyle w:val="Heading2"/>
      </w:pPr>
      <w:r>
        <w:t>4.2 Data Custodian</w:t>
      </w:r>
    </w:p>
    <w:p>
      <w:pPr/>
      <w:r>
        <w:t>The Data Custodian is typically an IT or Security team member responsible for implementing the technical controls defined by the Data Owner. Responsibilities include managing backups, access control systems, encryption mechanisms, and audit logs.</w:t>
      </w:r>
    </w:p>
    <w:p>
      <w:pPr>
        <w:pStyle w:val="Heading2"/>
      </w:pPr>
      <w:r>
        <w:t>4.3 Data User</w:t>
      </w:r>
    </w:p>
    <w:p>
      <w:pPr/>
      <w:r>
        <w:t>Any employee or contractor accessing Vistara data. Responsibilities include adhering to this policy, reporting security incidents, and not sharing data unauthorized.</w:t>
      </w:r>
    </w:p>
    <w:p>
      <w:pPr>
        <w:pStyle w:val="Heading1"/>
      </w:pPr>
      <w:r>
        <w:t>5. Specific Handling Procedures</w:t>
      </w:r>
    </w:p>
    <w:p>
      <w:pPr>
        <w:pStyle w:val="Heading2"/>
      </w:pPr>
      <w:r>
        <w:t>5.X Regional Addendum: Bengaluru</w:t>
      </w:r>
    </w:p>
    <w:p>
      <w:pPr/>
      <w:r>
        <w:t>In our Bengaluru office, specific localized regulations and physical security constraints must be applied when handling CONFIDENTIAL and RESTRICTED data. All physical media must be logged with the local Site Security Manager.</w:t>
      </w:r>
    </w:p>
    <w:p>
      <w:pPr/>
      <w:r>
        <w:t>- Engineering Department in Bengaluru: Special care is required for localized Engineering operations. Any cross-border data transfer originating from Bengaluru for Engineering needs explicit Legal-006 review.</w:t>
      </w:r>
    </w:p>
    <w:p>
      <w:pPr/>
      <w:r>
        <w:t>- Product Department in Bengaluru: Special care is required for localized Product operations. Any cross-border data transfer originating from Bengaluru for Product needs explicit Legal-006 review.</w:t>
      </w:r>
    </w:p>
    <w:p>
      <w:pPr/>
      <w:r>
        <w:t>- Sales Department in Bengaluru: Special care is required for localized Sales operations. Any cross-border data transfer originating from Bengaluru for Sales needs explicit Legal-006 review.</w:t>
      </w:r>
    </w:p>
    <w:p>
      <w:pPr>
        <w:pStyle w:val="Heading2"/>
      </w:pPr>
      <w:r>
        <w:t>5.X Regional Addendum: Hyderabad</w:t>
      </w:r>
    </w:p>
    <w:p>
      <w:pPr/>
      <w:r>
        <w:t>In our Hyderabad office, specific localized regulations and physical security constraints must be applied when handling CONFIDENTIAL and RESTRICTED data. All physical media must be logged with the local Site Security Manager.</w:t>
      </w:r>
    </w:p>
    <w:p>
      <w:pPr/>
      <w:r>
        <w:t>- Engineering Department in Hyderabad: Special care is required for localized Engineering operations. Any cross-border data transfer originating from Hyderabad for Engineering needs explicit Legal-006 review.</w:t>
      </w:r>
    </w:p>
    <w:p>
      <w:pPr/>
      <w:r>
        <w:t>- Product Department in Hyderabad: Special care is required for localized Product operations. Any cross-border data transfer originating from Hyderabad for Product needs explicit Legal-006 review.</w:t>
      </w:r>
    </w:p>
    <w:p>
      <w:pPr/>
      <w:r>
        <w:t>- Sales Department in Hyderabad: Special care is required for localized Sales operations. Any cross-border data transfer originating from Hyderabad for Sales needs explicit Legal-006 review.</w:t>
      </w:r>
    </w:p>
    <w:p>
      <w:pPr>
        <w:pStyle w:val="Heading2"/>
      </w:pPr>
      <w:r>
        <w:t>5.X Regional Addendum: Pune</w:t>
      </w:r>
    </w:p>
    <w:p>
      <w:pPr/>
      <w:r>
        <w:t>In our Pune office, specific localized regulations and physical security constraints must be applied when handling CONFIDENTIAL and RESTRICTED data. All physical media must be logged with the local Site Security Manager.</w:t>
      </w:r>
    </w:p>
    <w:p>
      <w:pPr/>
      <w:r>
        <w:t>- Engineering Department in Pune: Special care is required for localized Engineering operations. Any cross-border data transfer originating from Pune for Engineering needs explicit Legal-006 review.</w:t>
      </w:r>
    </w:p>
    <w:p>
      <w:pPr/>
      <w:r>
        <w:t>- Product Department in Pune: Special care is required for localized Product operations. Any cross-border data transfer originating from Pune for Product needs explicit Legal-006 review.</w:t>
      </w:r>
    </w:p>
    <w:p>
      <w:pPr/>
      <w:r>
        <w:t>- Sales Department in Pune: Special care is required for localized Sales operations. Any cross-border data transfer originating from Pune for Sales needs explicit Legal-006 review.</w:t>
      </w:r>
    </w:p>
    <w:p>
      <w:pPr>
        <w:pStyle w:val="Heading2"/>
      </w:pPr>
      <w:r>
        <w:t>5.X Regional Addendum: Mumbai</w:t>
      </w:r>
    </w:p>
    <w:p>
      <w:pPr/>
      <w:r>
        <w:t>In our Mumbai office, specific localized regulations and physical security constraints must be applied when handling CONFIDENTIAL and RESTRICTED data. All physical media must be logged with the local Site Security Manager.</w:t>
      </w:r>
    </w:p>
    <w:p>
      <w:pPr/>
      <w:r>
        <w:t>- Engineering Department in Mumbai: Special care is required for localized Engineering operations. Any cross-border data transfer originating from Mumbai for Engineering needs explicit Legal-006 review.</w:t>
      </w:r>
    </w:p>
    <w:p>
      <w:pPr/>
      <w:r>
        <w:t>- Product Department in Mumbai: Special care is required for localized Product operations. Any cross-border data transfer originating from Mumbai for Product needs explicit Legal-006 review.</w:t>
      </w:r>
    </w:p>
    <w:p>
      <w:pPr/>
      <w:r>
        <w:t>- Sales Department in Mumbai: Special care is required for localized Sales operations. Any cross-border data transfer originating from Mumbai for Sales needs explicit Legal-006 review.</w:t>
      </w:r>
    </w:p>
    <w:p>
      <w:pPr>
        <w:pStyle w:val="Heading2"/>
      </w:pPr>
      <w:r>
        <w:t>5.X Regional Addendum: Gurugram</w:t>
      </w:r>
    </w:p>
    <w:p>
      <w:pPr/>
      <w:r>
        <w:t>In our Gurugram office, specific localized regulations and physical security constraints must be applied when handling CONFIDENTIAL and RESTRICTED data. All physical media must be logged with the local Site Security Manager.</w:t>
      </w:r>
    </w:p>
    <w:p>
      <w:pPr/>
      <w:r>
        <w:t>- Engineering Department in Gurugram: Special care is required for localized Engineering operations. Any cross-border data transfer originating from Gurugram for Engineering needs explicit Legal-006 review.</w:t>
      </w:r>
    </w:p>
    <w:p>
      <w:pPr/>
      <w:r>
        <w:t>- Product Department in Gurugram: Special care is required for localized Product operations. Any cross-border data transfer originating from Gurugram for Product needs explicit Legal-006 review.</w:t>
      </w:r>
    </w:p>
    <w:p>
      <w:pPr/>
      <w:r>
        <w:t>- Sales Department in Gurugram: Special care is required for localized Sales operations. Any cross-border data transfer originating from Gurugram for Sales needs explicit Legal-006 review.</w:t>
      </w:r>
    </w:p>
    <w:p>
      <w:pPr>
        <w:pStyle w:val="Heading2"/>
      </w:pPr>
      <w:r>
        <w:t>5.X Regional Addendum: Chennai</w:t>
      </w:r>
    </w:p>
    <w:p>
      <w:pPr/>
      <w:r>
        <w:t>In our Chennai office, specific localized regulations and physical security constraints must be applied when handling CONFIDENTIAL and RESTRICTED data. All physical media must be logged with the local Site Security Manager.</w:t>
      </w:r>
    </w:p>
    <w:p>
      <w:pPr/>
      <w:r>
        <w:t>- Engineering Department in Chennai: Special care is required for localized Engineering operations. Any cross-border data transfer originating from Chennai for Engineering needs explicit Legal-006 review.</w:t>
      </w:r>
    </w:p>
    <w:p>
      <w:pPr/>
      <w:r>
        <w:t>- Product Department in Chennai: Special care is required for localized Product operations. Any cross-border data transfer originating from Chennai for Product needs explicit Legal-006 review.</w:t>
      </w:r>
    </w:p>
    <w:p>
      <w:pPr/>
      <w:r>
        <w:t>- Sales Department in Chennai: Special care is required for localized Sales operations. Any cross-border data transfer originating from Chennai for Sales needs explicit Legal-006 review.</w:t>
      </w:r>
    </w:p>
    <w:p>
      <w:pPr>
        <w:pStyle w:val="Heading2"/>
      </w:pPr>
      <w:r>
        <w:t>5.X Regional Addendum: Kolkata</w:t>
      </w:r>
    </w:p>
    <w:p>
      <w:pPr/>
      <w:r>
        <w:t>In our Kolkata office, specific localized regulations and physical security constraints must be applied when handling CONFIDENTIAL and RESTRICTED data. All physical media must be logged with the local Site Security Manager.</w:t>
      </w:r>
    </w:p>
    <w:p>
      <w:pPr/>
      <w:r>
        <w:t>- Engineering Department in Kolkata: Special care is required for localized Engineering operations. Any cross-border data transfer originating from Kolkata for Engineering needs explicit Legal-006 review.</w:t>
      </w:r>
    </w:p>
    <w:p>
      <w:pPr/>
      <w:r>
        <w:t>- Product Department in Kolkata: Special care is required for localized Product operations. Any cross-border data transfer originating from Kolkata for Product needs explicit Legal-006 review.</w:t>
      </w:r>
    </w:p>
    <w:p>
      <w:pPr/>
      <w:r>
        <w:t>- Sales Department in Kolkata: Special care is required for localized Sales operations. Any cross-border data transfer originating from Kolkata for Sales needs explicit Legal-006 review.</w:t>
      </w:r>
    </w:p>
    <w:p>
      <w:pPr>
        <w:pStyle w:val="Heading2"/>
      </w:pPr>
      <w:r>
        <w:t>5.X Regional Addendum: New Delhi</w:t>
      </w:r>
    </w:p>
    <w:p>
      <w:pPr/>
      <w:r>
        <w:t>In our New Delhi office, specific localized regulations and physical security constraints must be applied when handling CONFIDENTIAL and RESTRICTED data. All physical media must be logged with the local Site Security Manager.</w:t>
      </w:r>
    </w:p>
    <w:p>
      <w:pPr/>
      <w:r>
        <w:t>- Engineering Department in New Delhi: Special care is required for localized Engineering operations. Any cross-border data transfer originating from New Delhi for Engineering needs explicit Legal-006 review.</w:t>
      </w:r>
    </w:p>
    <w:p>
      <w:pPr/>
      <w:r>
        <w:t>- Product Department in New Delhi: Special care is required for localized Product operations. Any cross-border data transfer originating from New Delhi for Product needs explicit Legal-006 review.</w:t>
      </w:r>
    </w:p>
    <w:p>
      <w:pPr/>
      <w:r>
        <w:t>- Sales Department in New Delhi: Special care is required for localized Sales operations. Any cross-border data transfer originating from New Delhi for Sales needs explicit Legal-006 review.</w:t>
      </w:r>
    </w:p>
    <w:p>
      <w:pPr>
        <w:pStyle w:val="Heading2"/>
      </w:pPr>
      <w:r>
        <w:t>5.X Regional Addendum: Singapore</w:t>
      </w:r>
    </w:p>
    <w:p>
      <w:pPr/>
      <w:r>
        <w:t>In our Singapore office, specific localized regulations and physical security constraints must be applied when handling CONFIDENTIAL and RESTRICTED data. All physical media must be logged with the local Site Security Manager.</w:t>
      </w:r>
    </w:p>
    <w:p>
      <w:pPr/>
      <w:r>
        <w:t>- Engineering Department in Singapore: Special care is required for localized Engineering operations. Any cross-border data transfer originating from Singapore for Engineering needs explicit Legal-006 review.</w:t>
      </w:r>
    </w:p>
    <w:p>
      <w:pPr/>
      <w:r>
        <w:t>- Product Department in Singapore: Special care is required for localized Product operations. Any cross-border data transfer originating from Singapore for Product needs explicit Legal-006 review.</w:t>
      </w:r>
    </w:p>
    <w:p>
      <w:pPr/>
      <w:r>
        <w:t>- Sales Department in Singapore: Special care is required for localized Sales operations. Any cross-border data transfer originating from Singapore for Sales needs explicit Legal-006 review.</w:t>
      </w:r>
    </w:p>
    <w:p>
      <w:pPr>
        <w:pStyle w:val="Heading2"/>
      </w:pPr>
      <w:r>
        <w:t>5.X Regional Addendum: Dubai</w:t>
      </w:r>
    </w:p>
    <w:p>
      <w:pPr/>
      <w:r>
        <w:t>In our Dubai office, specific localized regulations and physical security constraints must be applied when handling CONFIDENTIAL and RESTRICTED data. All physical media must be logged with the local Site Security Manager.</w:t>
      </w:r>
    </w:p>
    <w:p>
      <w:pPr/>
      <w:r>
        <w:t>- Engineering Department in Dubai: Special care is required for localized Engineering operations. Any cross-border data transfer originating from Dubai for Engineering needs explicit Legal-006 review.</w:t>
      </w:r>
    </w:p>
    <w:p>
      <w:pPr/>
      <w:r>
        <w:t>- Product Department in Dubai: Special care is required for localized Product operations. Any cross-border data transfer originating from Dubai for Product needs explicit Legal-006 review.</w:t>
      </w:r>
    </w:p>
    <w:p>
      <w:pPr/>
      <w:r>
        <w:t>- Sales Department in Dubai: Special care is required for localized Sales operations. Any cross-border data transfer originating from Dubai for Sales needs explicit Legal-006 review.</w:t>
      </w:r>
    </w:p>
    <w:p>
      <w:pPr>
        <w:pStyle w:val="Heading2"/>
      </w:pPr>
      <w:r>
        <w:t>5.X Regional Addendum: London</w:t>
      </w:r>
    </w:p>
    <w:p>
      <w:pPr/>
      <w:r>
        <w:t>In our London office, specific localized regulations and physical security constraints must be applied when handling CONFIDENTIAL and RESTRICTED data. All physical media must be logged with the local Site Security Manager.</w:t>
      </w:r>
    </w:p>
    <w:p>
      <w:pPr/>
      <w:r>
        <w:t>- Engineering Department in London: Special care is required for localized Engineering operations. Any cross-border data transfer originating from London for Engineering needs explicit Legal-006 review.</w:t>
      </w:r>
    </w:p>
    <w:p>
      <w:pPr/>
      <w:r>
        <w:t>- Product Department in London: Special care is required for localized Product operations. Any cross-border data transfer originating from London for Product needs explicit Legal-006 review.</w:t>
      </w:r>
    </w:p>
    <w:p>
      <w:pPr/>
      <w:r>
        <w:t>- Sales Department in London: Special care is required for localized Sales operations. Any cross-border data transfer originating from London for Sales needs explicit Legal-006 review.</w:t>
      </w:r>
    </w:p>
    <w:p>
      <w:pPr>
        <w:pStyle w:val="Heading2"/>
      </w:pPr>
      <w:r>
        <w:t>5.X Regional Addendum: Austin</w:t>
      </w:r>
    </w:p>
    <w:p>
      <w:pPr/>
      <w:r>
        <w:t>In our Austin office, specific localized regulations and physical security constraints must be applied when handling CONFIDENTIAL and RESTRICTED data. All physical media must be logged with the local Site Security Manager.</w:t>
      </w:r>
    </w:p>
    <w:p>
      <w:pPr/>
      <w:r>
        <w:t>- Engineering Department in Austin: Special care is required for localized Engineering operations. Any cross-border data transfer originating from Austin for Engineering needs explicit Legal-006 review.</w:t>
      </w:r>
    </w:p>
    <w:p>
      <w:pPr/>
      <w:r>
        <w:t>- Product Department in Austin: Special care is required for localized Product operations. Any cross-border data transfer originating from Austin for Product needs explicit Legal-006 review.</w:t>
      </w:r>
    </w:p>
    <w:p>
      <w:pPr/>
      <w:r>
        <w:t>- Sales Department in Austin: Special care is required for localized Sales operations. Any cross-border data transfer originating from Austin for Sales needs explicit Legal-006 review.</w:t>
      </w:r>
    </w:p>
    <w:p>
      <w:pPr>
        <w:pStyle w:val="Heading1"/>
      </w:pPr>
      <w:r>
        <w:t>6. Data Lifecycle Management</w:t>
      </w:r>
    </w:p>
    <w:p>
      <w:pPr>
        <w:pStyle w:val="Heading2"/>
      </w:pPr>
      <w:r>
        <w:t>6.X Creation</w:t>
      </w:r>
    </w:p>
    <w:p>
      <w:pPr/>
      <w:r>
        <w:t xml:space="preserve">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During the Creation phase, strict adherence to the data matrix is required. </w:t>
      </w:r>
    </w:p>
    <w:p>
      <w:pPr>
        <w:pStyle w:val="Heading2"/>
      </w:pPr>
      <w:r>
        <w:t>6.X Active Use</w:t>
      </w:r>
    </w:p>
    <w:p>
      <w:pPr/>
      <w:r>
        <w:t xml:space="preserve">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During the Active Use phase, strict adherence to the data matrix is required. </w:t>
      </w:r>
    </w:p>
    <w:p>
      <w:pPr>
        <w:pStyle w:val="Heading2"/>
      </w:pPr>
      <w:r>
        <w:t>6.X Archival</w:t>
      </w:r>
    </w:p>
    <w:p>
      <w:pPr/>
      <w:r>
        <w:t xml:space="preserve">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During the Archival phase, strict adherence to the data matrix is required. </w:t>
      </w:r>
    </w:p>
    <w:p>
      <w:pPr>
        <w:pStyle w:val="Heading2"/>
      </w:pPr>
      <w:r>
        <w:t>6.X Destruction</w:t>
      </w:r>
    </w:p>
    <w:p>
      <w:pPr/>
      <w:r>
        <w:t xml:space="preserve">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During the Destruction phase, strict adherence to the data matrix is required. </w:t>
      </w:r>
    </w:p>
    <w:p>
      <w:pPr>
        <w:pStyle w:val="Heading1"/>
      </w:pPr>
      <w:r>
        <w:t>7. Scenarios</w:t>
      </w:r>
    </w:p>
    <w:p>
      <w:pPr>
        <w:pStyle w:val="Heading3"/>
      </w:pPr>
      <w:r>
        <w:t>Scenario 1: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2: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3: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4: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5: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6: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7: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3"/>
      </w:pPr>
      <w:r>
        <w:t>Scenario 8: Handling External Requests</w:t>
      </w:r>
    </w:p>
    <w:p>
      <w:r>
        <w:rPr>
          <w:b/>
          <w:color w:val="1B3A5C"/>
        </w:rPr>
        <w:t xml:space="preserve">Situation: </w:t>
      </w:r>
      <w:r>
        <w:t>An external vendor requests a copy of the database schema for integration purposes.</w:t>
      </w:r>
    </w:p>
    <w:p>
      <w:r>
        <w:rPr>
          <w:b/>
          <w:color w:val="1B3A5C"/>
        </w:rPr>
        <w:t xml:space="preserve">Relevant Requirements: </w:t>
      </w:r>
      <w:r>
        <w:t>Database schema is CONFIDENTIAL data. It requires NDA and Need-to-Know basis.</w:t>
      </w:r>
    </w:p>
    <w:p>
      <w:r>
        <w:rPr>
          <w:b/>
          <w:color w:val="1B3A5C"/>
        </w:rPr>
        <w:t xml:space="preserve">Expected Process: </w:t>
      </w:r>
      <w:r>
        <w:t>The Data Owner must review the request. If approved, an NDA must be verified by Legal. The data must be transmitted via an encrypted channel (TLS 1.2+ or Vistara Vault).</w:t>
      </w:r>
    </w:p>
    <w:p>
      <w:r>
        <w:rPr>
          <w:b/>
          <w:color w:val="1B3A5C"/>
        </w:rPr>
        <w:t xml:space="preserve">Outcome: </w:t>
      </w:r>
      <w:r>
        <w:t>The schema is shared securely, audit logs capture the transfer, and the vendor is bound by contract.</w:t>
      </w:r>
    </w:p>
    <w:p/>
    <w:p>
      <w:pPr>
        <w:pStyle w:val="Heading1"/>
      </w:pPr>
      <w:r>
        <w:t>8. Frequently Asked Questions (FAQ)</w:t>
      </w:r>
    </w:p>
    <w:p>
      <w:r>
        <w:rPr>
          <w:rFonts w:ascii="Calibri" w:hAnsi="Calibri"/>
          <w:b/>
          <w:color w:val="1B3A5C"/>
          <w:sz w:val="22"/>
        </w:rPr>
        <w:t>Q: How do I classify a document if it contains multiple types of data? (FAQ 1)</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1b)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2)</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2b)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3)</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3b)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4)</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4b)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5)</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5b)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6)</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6b)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7)</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7b)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8)</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8b)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9)</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9b)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10)</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10b)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11)</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11b)</w:t>
      </w:r>
    </w:p>
    <w:p>
      <w:pPr>
        <w:spacing w:after="240"/>
      </w:pPr>
      <w:r>
        <w:rPr>
          <w:rFonts w:ascii="Calibri" w:hAnsi="Calibri"/>
          <w:color w:val="333333"/>
          <w:sz w:val="22"/>
        </w:rPr>
        <w:t>A: No, unless explicit exception is granted by the CISO, and only if the USB drive is hardware-encrypted and company-issued.</w:t>
      </w:r>
    </w:p>
    <w:p>
      <w:r>
        <w:rPr>
          <w:rFonts w:ascii="Calibri" w:hAnsi="Calibri"/>
          <w:b/>
          <w:color w:val="1B3A5C"/>
          <w:sz w:val="22"/>
        </w:rPr>
        <w:t>Q: How do I classify a document if it contains multiple types of data? (FAQ 12)</w:t>
      </w:r>
    </w:p>
    <w:p>
      <w:pPr>
        <w:spacing w:after="240"/>
      </w:pPr>
      <w:r>
        <w:rPr>
          <w:rFonts w:ascii="Calibri" w:hAnsi="Calibri"/>
          <w:color w:val="333333"/>
          <w:sz w:val="22"/>
        </w:rPr>
        <w:t>A: You must always classify the entire document based on the highest level of sensitive data it contains. For example, if a document is mostly INTERNAL but contains one paragraph of RESTRICTED information, the entire document must be marked and handled as RESTRICTED.</w:t>
      </w:r>
    </w:p>
    <w:p>
      <w:r>
        <w:rPr>
          <w:rFonts w:ascii="Calibri" w:hAnsi="Calibri"/>
          <w:b/>
          <w:color w:val="1B3A5C"/>
          <w:sz w:val="22"/>
        </w:rPr>
        <w:t>Q: Can I store CONFIDENTIAL data on a USB drive? (FAQ 12b)</w:t>
      </w:r>
    </w:p>
    <w:p>
      <w:pPr>
        <w:spacing w:after="240"/>
      </w:pPr>
      <w:r>
        <w:rPr>
          <w:rFonts w:ascii="Calibri" w:hAnsi="Calibri"/>
          <w:color w:val="333333"/>
          <w:sz w:val="22"/>
        </w:rPr>
        <w:t>A: No, unless explicit exception is granted by the CISO, and only if the USB drive is hardware-encrypted and company-issued.</w:t>
      </w:r>
    </w:p>
    <w:p>
      <w:pPr>
        <w:pStyle w:val="Heading1"/>
      </w:pPr>
      <w:r>
        <w:t>9. Appendices</w:t>
      </w:r>
    </w:p>
    <w:p>
      <w:pPr>
        <w:pStyle w:val="Heading2"/>
      </w:pPr>
      <w:r>
        <w:t>Appendix A Reclassification Process</w:t>
      </w:r>
    </w:p>
    <w:p>
      <w:pPr/>
      <w:r>
        <w:t>Data may be reclassified (upgraded or downgraded) only by the Data Owner. The process requires a formal ticket in the ITSM tool, a rationale, and automated re-tagging of the metadata.</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2024</w:t>
            </w:r>
          </w:p>
        </w:tc>
        <w:tc>
          <w:tcPr>
            <w:tcW w:type="dxa" w:w="2160"/>
          </w:tcPr>
          <w:p>
            <w:r>
              <w:rPr>
                <w:rFonts w:ascii="Calibri" w:hAnsi="Calibri"/>
                <w:color w:val="333333"/>
                <w:sz w:val="18"/>
              </w:rPr>
              <w:t>CISO Office</w:t>
            </w:r>
          </w:p>
        </w:tc>
        <w:tc>
          <w:tcPr>
            <w:tcW w:type="dxa" w:w="4320"/>
          </w:tcPr>
          <w:p>
            <w:r>
              <w:rPr>
                <w:rFonts w:ascii="Calibri" w:hAnsi="Calibri"/>
                <w:color w:val="333333"/>
                <w:sz w:val="18"/>
              </w:rPr>
              <w:t>Initial policy release</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15 Jun 2024</w:t>
            </w:r>
          </w:p>
        </w:tc>
        <w:tc>
          <w:tcPr>
            <w:tcW w:type="dxa" w:w="2160"/>
            <w:shd w:fill="F2F6FA" w:val="clear"/>
          </w:tcPr>
          <w:p>
            <w:r>
              <w:rPr>
                <w:rFonts w:ascii="Calibri" w:hAnsi="Calibri"/>
                <w:color w:val="333333"/>
                <w:sz w:val="18"/>
              </w:rPr>
              <w:t>CISO Office</w:t>
            </w:r>
          </w:p>
        </w:tc>
        <w:tc>
          <w:tcPr>
            <w:tcW w:type="dxa" w:w="4320"/>
            <w:shd w:fill="F2F6FA" w:val="clear"/>
          </w:tcPr>
          <w:p>
            <w:r>
              <w:rPr>
                <w:rFonts w:ascii="Calibri" w:hAnsi="Calibri"/>
                <w:color w:val="333333"/>
                <w:sz w:val="18"/>
              </w:rPr>
              <w:t>Added GDPR addendums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Dec 2024</w:t>
            </w:r>
          </w:p>
        </w:tc>
        <w:tc>
          <w:tcPr>
            <w:tcW w:type="dxa" w:w="2160"/>
          </w:tcPr>
          <w:p>
            <w:r>
              <w:rPr>
                <w:rFonts w:ascii="Calibri" w:hAnsi="Calibri"/>
                <w:color w:val="333333"/>
                <w:sz w:val="18"/>
              </w:rPr>
              <w:t>Compliance</w:t>
            </w:r>
          </w:p>
        </w:tc>
        <w:tc>
          <w:tcPr>
            <w:tcW w:type="dxa" w:w="4320"/>
          </w:tcPr>
          <w:p>
            <w:r>
              <w:rPr>
                <w:rFonts w:ascii="Calibri" w:hAnsi="Calibri"/>
                <w:color w:val="333333"/>
                <w:sz w:val="18"/>
              </w:rPr>
              <w:t>Updated for ISO 27001</w:t>
            </w:r>
          </w:p>
        </w:tc>
      </w:tr>
      <w:tr>
        <w:tc>
          <w:tcPr>
            <w:tcW w:type="dxa" w:w="1152"/>
            <w:shd w:fill="F2F6FA" w:val="clear"/>
          </w:tcPr>
          <w:p>
            <w:r>
              <w:rPr>
                <w:rFonts w:ascii="Calibri" w:hAnsi="Calibri"/>
                <w:color w:val="333333"/>
                <w:sz w:val="18"/>
              </w:rPr>
              <w:t>1.3</w:t>
            </w:r>
          </w:p>
        </w:tc>
        <w:tc>
          <w:tcPr>
            <w:tcW w:type="dxa" w:w="1872"/>
            <w:shd w:fill="F2F6FA" w:val="clear"/>
          </w:tcPr>
          <w:p>
            <w:r>
              <w:rPr>
                <w:rFonts w:ascii="Calibri" w:hAnsi="Calibri"/>
                <w:color w:val="333333"/>
                <w:sz w:val="18"/>
              </w:rPr>
              <w:t>01 Nov 2025</w:t>
            </w:r>
          </w:p>
        </w:tc>
        <w:tc>
          <w:tcPr>
            <w:tcW w:type="dxa" w:w="2160"/>
            <w:shd w:fill="F2F6FA" w:val="clear"/>
          </w:tcPr>
          <w:p>
            <w:r>
              <w:rPr>
                <w:rFonts w:ascii="Calibri" w:hAnsi="Calibri"/>
                <w:color w:val="333333"/>
                <w:sz w:val="18"/>
              </w:rPr>
              <w:t>SecOps</w:t>
            </w:r>
          </w:p>
        </w:tc>
        <w:tc>
          <w:tcPr>
            <w:tcW w:type="dxa" w:w="4320"/>
            <w:shd w:fill="F2F6FA" w:val="clear"/>
          </w:tcPr>
          <w:p>
            <w:r>
              <w:rPr>
                <w:rFonts w:ascii="Calibri" w:hAnsi="Calibri"/>
                <w:color w:val="333333"/>
                <w:sz w:val="18"/>
              </w:rPr>
              <w:t>Revised cloud storage exceptions</w:t>
            </w:r>
          </w:p>
        </w:tc>
      </w:tr>
      <w:tr>
        <w:tc>
          <w:tcPr>
            <w:tcW w:type="dxa" w:w="1152"/>
          </w:tcPr>
          <w:p>
            <w:r>
              <w:rPr>
                <w:rFonts w:ascii="Calibri" w:hAnsi="Calibri"/>
                <w:color w:val="333333"/>
                <w:sz w:val="18"/>
              </w:rPr>
              <w:t>2.0</w:t>
            </w:r>
          </w:p>
        </w:tc>
        <w:tc>
          <w:tcPr>
            <w:tcW w:type="dxa" w:w="1872"/>
          </w:tcPr>
          <w:p>
            <w:r>
              <w:rPr>
                <w:rFonts w:ascii="Calibri" w:hAnsi="Calibri"/>
                <w:color w:val="333333"/>
                <w:sz w:val="18"/>
              </w:rPr>
              <w:t>01 May 2026</w:t>
            </w:r>
          </w:p>
        </w:tc>
        <w:tc>
          <w:tcPr>
            <w:tcW w:type="dxa" w:w="2160"/>
          </w:tcPr>
          <w:p>
            <w:r>
              <w:rPr>
                <w:rFonts w:ascii="Calibri" w:hAnsi="Calibri"/>
                <w:color w:val="333333"/>
                <w:sz w:val="18"/>
              </w:rPr>
              <w:t>CISO</w:t>
            </w:r>
          </w:p>
        </w:tc>
        <w:tc>
          <w:tcPr>
            <w:tcW w:type="dxa" w:w="4320"/>
          </w:tcPr>
          <w:p>
            <w:r>
              <w:rPr>
                <w:rFonts w:ascii="Calibri" w:hAnsi="Calibri"/>
                <w:color w:val="333333"/>
                <w:sz w:val="18"/>
              </w:rPr>
              <w:t>Major revision adding four-tier model and strict RESTRICTED data controls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SEC-005</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