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Acceptable Use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SEC-006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Head of IT &amp; Security</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February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February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SEC-006</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Acceptable Use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Head of IT &amp; Security</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CISO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February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February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Vistara personnel utilizing company systems or BYOD.</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2.1 (01 August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SEC-001, SEC-003, SEC-005, SEC-007, SEC-009, HR-001, HR-002, AI-002</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Scope</w:t>
      </w:r>
    </w:p>
    <w:p>
      <w:pPr/>
      <w:r>
        <w:t>This Acceptable Use Policy outlines the acceptable use of computer equipment, networks, data, and systems at Vistara Global Systems Pvt. Ltd. This applies to all company-provided devices (laptops, phones, tablets), internal networks, cloud systems, and personal devices (BYOD) used for work purposes under the BYOD program.</w:t>
      </w:r>
    </w:p>
    <w:p>
      <w:pPr>
        <w:pStyle w:val="Heading1"/>
      </w:pPr>
      <w:r>
        <w:t>2. Acceptable Use of Internet</w:t>
      </w:r>
    </w:p>
    <w:p>
      <w:pPr/>
      <w:r>
        <w:t>The internet connection provided by Vistara is primarily for business use. Limited personal use is permitted during breaks, provided it does not interfere with business operations or violate this policy. Bandwidth-heavy personal streaming (e.g., Netflix, YouTube for non-work purposes) is strictly prohibited as it impacts network performance.</w:t>
      </w:r>
    </w:p>
    <w:p>
      <w:pPr>
        <w:pStyle w:val="Heading1"/>
      </w:pPr>
      <w:r>
        <w:t>3. Prohibited Activities</w:t>
      </w:r>
    </w:p>
    <w:p>
      <w:pPr>
        <w:pStyle w:val="ListBullet"/>
      </w:pPr>
      <w:r>
        <w:t>Accessing, downloading, or distributing illegal, offensive, or obscene content.</w:t>
      </w:r>
    </w:p>
    <w:p>
      <w:pPr>
        <w:pStyle w:val="ListBullet"/>
      </w:pPr>
      <w:r>
        <w:t>Installing unauthorized software, including unapproved browser extensions.</w:t>
      </w:r>
    </w:p>
    <w:p>
      <w:pPr>
        <w:pStyle w:val="ListBullet"/>
      </w:pPr>
      <w:r>
        <w:t>Cryptocurrency mining of any kind on company hardware or networks.</w:t>
      </w:r>
    </w:p>
    <w:p>
      <w:pPr>
        <w:pStyle w:val="ListBullet"/>
      </w:pPr>
      <w:r>
        <w:t>Using personal cloud storage (e.g., personal Google Drive, Dropbox) for Vistara work data.</w:t>
      </w:r>
    </w:p>
    <w:p>
      <w:pPr>
        <w:pStyle w:val="ListBullet"/>
      </w:pPr>
      <w:r>
        <w:t>Using unauthorized Generative AI tools (must comply with AI-002).</w:t>
      </w:r>
    </w:p>
    <w:p>
      <w:pPr>
        <w:pStyle w:val="ListBullet"/>
      </w:pPr>
      <w:r>
        <w:t>Hacking, scanning, or probing network security controls without explicit authorization.</w:t>
      </w:r>
    </w:p>
    <w:p>
      <w:pPr>
        <w:pStyle w:val="ListBullet"/>
      </w:pPr>
      <w:r>
        <w:t>Circumventing security controls (e.g., disabling antivirus, bypassing proxies).</w:t>
      </w:r>
    </w:p>
    <w:p>
      <w:pPr/>
      <w:r>
        <w:t>Violations of these prohibited activities may result in disciplinary action, up to and including termination of employment or legal action.</w:t>
      </w:r>
    </w:p>
    <w:p>
      <w:pPr/>
      <w:r>
        <w:t>Violations of these prohibited activities may result in disciplinary action, up to and including termination of employment or legal action.</w:t>
      </w:r>
    </w:p>
    <w:p>
      <w:pPr/>
      <w:r>
        <w:t>Violations of these prohibited activities may result in disciplinary action, up to and including termination of employment or legal action.</w:t>
      </w:r>
    </w:p>
    <w:p>
      <w:pPr/>
      <w:r>
        <w:t>Violations of these prohibited activities may result in disciplinary action, up to and including termination of employment or legal action.</w:t>
      </w:r>
    </w:p>
    <w:p>
      <w:pPr/>
      <w:r>
        <w:t>Violations of these prohibited activities may result in disciplinary action, up to and including termination of employment or legal action.</w:t>
      </w:r>
    </w:p>
    <w:p>
      <w:pPr>
        <w:pStyle w:val="Heading1"/>
      </w:pPr>
      <w:r>
        <w:t>4. Communications &amp; Messaging</w:t>
      </w:r>
    </w:p>
    <w:p>
      <w:pPr/>
      <w:r>
        <w:t>Email Use: Corporate email is for business communication. Auto-forwarding work emails to personal accounts is technically blocked and strictly prohibited.</w:t>
      </w:r>
    </w:p>
    <w:p>
      <w:pPr/>
      <w:r>
        <w:t>Messaging Platforms: The only approved enterprise messaging platforms are Microsoft Teams and Slack Enterprise. Personal platforms (WhatsApp, Telegram) must not be used for business discussions or sharing company data.</w:t>
      </w:r>
    </w:p>
    <w:p>
      <w:pPr>
        <w:pStyle w:val="Heading1"/>
      </w:pPr>
      <w:r>
        <w:t>5. Social Media</w:t>
      </w:r>
    </w:p>
    <w:p>
      <w:pPr/>
      <w:r>
        <w:t>Personal use of social media should occur on personal devices and personal time. Employees must not represent Vistara or speak on the company's behalf on social media without explicit authorization per CORP-004.</w:t>
      </w:r>
    </w:p>
    <w:p>
      <w:pPr>
        <w:pStyle w:val="Heading1"/>
      </w:pPr>
      <w:r>
        <w:t>6. Hardware &amp; Software Controls</w:t>
      </w:r>
    </w:p>
    <w:p>
      <w:pPr/>
      <w:r>
        <w:t>Software Installation: Only software from the Vistara Approved Software Catalog may be installed. Local administrator rights are not granted by default. Any exceptions require an IT ticket and business justification.</w:t>
      </w:r>
    </w:p>
    <w:p>
      <w:pPr/>
      <w:r>
        <w:t>USB/Removable Media: USB storage ports are disabled via endpoint controls by default. Exceptions require Security approval for a valid business need, and only Vistara-issued, hardware-encrypted drives may be used.</w:t>
      </w:r>
    </w:p>
    <w:p>
      <w:pPr/>
      <w:r>
        <w:t>Personal Devices (BYOD): Employees using personal devices for work must enroll in the company's Mobile Device Management (MDM) solution. The MDM enforces personal data segregation and allows remote wipe of corporate data.</w:t>
      </w:r>
    </w:p>
    <w:p>
      <w:pPr>
        <w:pStyle w:val="Heading1"/>
      </w:pPr>
      <w:r>
        <w:t>7. Monitoring Notice</w:t>
      </w:r>
    </w:p>
    <w:p>
      <w:pPr/>
      <w:r>
        <w:t>Vistara reserves the right to monitor, audit, and log all activities on company-provided systems, networks, and devices. Employees should have no expectation of privacy when using Vistara systems or networks.</w:t>
      </w:r>
    </w:p>
    <w:p>
      <w:pPr>
        <w:pStyle w:val="Heading1"/>
      </w:pPr>
      <w:r>
        <w:t>8. Generative AI Tools</w:t>
      </w:r>
    </w:p>
    <w:p>
      <w:pPr/>
      <w:r>
        <w:t>Employees may only use company-approved GenAI tools (e.g., internal Enterprise Copilot) in accordance with AI-002. No CONFIDENTIAL or RESTRICTED data may be entered into public AI prompts.</w:t>
      </w:r>
    </w:p>
    <w:p>
      <w:pPr>
        <w:pStyle w:val="Heading1"/>
      </w:pPr>
      <w:r>
        <w:t>9. Departmental Applicability</w:t>
      </w:r>
    </w:p>
    <w:p>
      <w:pPr>
        <w:pStyle w:val="Heading2"/>
      </w:pPr>
      <w:r>
        <w:t>9.Engineering Specific AUP Rules for Engineering</w:t>
      </w:r>
    </w:p>
    <w:p>
      <w:pPr/>
      <w:r>
        <w:t>The Engineering department often encounters specific use cases requiring access to external platforms. All such access must be routed through the secure web gateway. Members of Engineering are reminded to strictly adhere to the data handling requirements when using external vendor portals.</w:t>
      </w:r>
    </w:p>
    <w:p>
      <w:pPr>
        <w:pStyle w:val="Heading2"/>
      </w:pPr>
      <w:r>
        <w:t>9.Product Specific AUP Rules for Product</w:t>
      </w:r>
    </w:p>
    <w:p>
      <w:pPr/>
      <w:r>
        <w:t>The Product department often encounters specific use cases requiring access to external platforms. All such access must be routed through the secure web gateway. Members of Product are reminded to strictly adhere to the data handling requirements when using external vendor portals.</w:t>
      </w:r>
    </w:p>
    <w:p>
      <w:pPr>
        <w:pStyle w:val="Heading2"/>
      </w:pPr>
      <w:r>
        <w:t>9.Sales Specific AUP Rules for Sales</w:t>
      </w:r>
    </w:p>
    <w:p>
      <w:pPr/>
      <w:r>
        <w:t>The Sales department often encounters specific use cases requiring access to external platforms. All such access must be routed through the secure web gateway. Members of Sales are reminded to strictly adhere to the data handling requirements when using external vendor portals.</w:t>
      </w:r>
    </w:p>
    <w:p>
      <w:pPr>
        <w:pStyle w:val="Heading2"/>
      </w:pPr>
      <w:r>
        <w:t>9.Marketing Specific AUP Rules for Marketing</w:t>
      </w:r>
    </w:p>
    <w:p>
      <w:pPr/>
      <w:r>
        <w:t>The Marketing department often encounters specific use cases requiring access to external platforms. All such access must be routed through the secure web gateway. Members of Marketing are reminded to strictly adhere to the data handling requirements when using external vendor portals.</w:t>
      </w:r>
    </w:p>
    <w:p>
      <w:pPr>
        <w:pStyle w:val="Heading2"/>
      </w:pPr>
      <w:r>
        <w:t>9.HR Specific AUP Rules for HR</w:t>
      </w:r>
    </w:p>
    <w:p>
      <w:pPr/>
      <w:r>
        <w:t>The HR department often encounters specific use cases requiring access to external platforms. All such access must be routed through the secure web gateway. Members of HR are reminded to strictly adhere to the data handling requirements when using external vendor portals.</w:t>
      </w:r>
    </w:p>
    <w:p>
      <w:pPr>
        <w:pStyle w:val="Heading2"/>
      </w:pPr>
      <w:r>
        <w:t>9.Legal Specific AUP Rules for Legal</w:t>
      </w:r>
    </w:p>
    <w:p>
      <w:pPr/>
      <w:r>
        <w:t>The Legal department often encounters specific use cases requiring access to external platforms. All such access must be routed through the secure web gateway. Members of Legal are reminded to strictly adhere to the data handling requirements when using external vendor portals.</w:t>
      </w:r>
    </w:p>
    <w:p>
      <w:pPr>
        <w:pStyle w:val="Heading2"/>
      </w:pPr>
      <w:r>
        <w:t>9.Finance Specific AUP Rules for Finance</w:t>
      </w:r>
    </w:p>
    <w:p>
      <w:pPr/>
      <w:r>
        <w:t>The Finance department often encounters specific use cases requiring access to external platforms. All such access must be routed through the secure web gateway. Members of Finance are reminded to strictly adhere to the data handling requirements when using external vendor portals.</w:t>
      </w:r>
    </w:p>
    <w:p>
      <w:pPr>
        <w:pStyle w:val="Heading2"/>
      </w:pPr>
      <w:r>
        <w:t>9.IT &amp; Security Specific AUP Rules for IT &amp; Security</w:t>
      </w:r>
    </w:p>
    <w:p>
      <w:pPr/>
      <w:r>
        <w:t>The IT &amp; Security department often encounters specific use cases requiring access to external platforms. All such access must be routed through the secure web gateway. Members of IT &amp; Security are reminded to strictly adhere to the data handling requirements when using external vendor portals.</w:t>
      </w:r>
    </w:p>
    <w:p>
      <w:pPr>
        <w:pStyle w:val="Heading2"/>
      </w:pPr>
      <w:r>
        <w:t>9.Customer Support Specific AUP Rules for Customer Support</w:t>
      </w:r>
    </w:p>
    <w:p>
      <w:pPr/>
      <w:r>
        <w:t>The Customer Support department often encounters specific use cases requiring access to external platforms. All such access must be routed through the secure web gateway. Members of Customer Support are reminded to strictly adhere to the data handling requirements when using external vendor portals.</w:t>
      </w:r>
    </w:p>
    <w:p>
      <w:pPr>
        <w:pStyle w:val="Heading1"/>
      </w:pPr>
      <w:r>
        <w:t>10. Scenarios</w:t>
      </w:r>
    </w:p>
    <w:p>
      <w:pPr>
        <w:pStyle w:val="Heading3"/>
      </w:pPr>
      <w:r>
        <w:t>Scenario 1: Unapproved Software Request</w:t>
      </w:r>
    </w:p>
    <w:p>
      <w:r>
        <w:rPr>
          <w:b/>
          <w:color w:val="1B3A5C"/>
        </w:rPr>
        <w:t xml:space="preserve">Situation: </w:t>
      </w:r>
      <w:r>
        <w:t>An employee needs a specific tool for a project that is not in the approved catalog.</w:t>
      </w:r>
    </w:p>
    <w:p>
      <w:r>
        <w:rPr>
          <w:b/>
          <w:color w:val="1B3A5C"/>
        </w:rPr>
        <w:t xml:space="preserve">Relevant Requirements: </w:t>
      </w:r>
      <w:r>
        <w:t>Software Installation Policy, SEC-006</w:t>
      </w:r>
    </w:p>
    <w:p>
      <w:r>
        <w:rPr>
          <w:b/>
          <w:color w:val="1B3A5C"/>
        </w:rPr>
        <w:t xml:space="preserve">Expected Process: </w:t>
      </w:r>
      <w:r>
        <w:t>The employee must submit a software evaluation request via ITSM. IT and Security will review the tool for risks. If approved, it is deployed via the centralized endpoint manager.</w:t>
      </w:r>
    </w:p>
    <w:p>
      <w:r>
        <w:rPr>
          <w:b/>
          <w:color w:val="1B3A5C"/>
        </w:rPr>
        <w:t xml:space="preserve">Outcome: </w:t>
      </w:r>
      <w:r>
        <w:t>The tool is installed securely without compromising endpoint integrity.</w:t>
      </w:r>
    </w:p>
    <w:p/>
    <w:p>
      <w:pPr>
        <w:pStyle w:val="Heading3"/>
      </w:pPr>
      <w:r>
        <w:t>Scenario 2: Unapproved Software Request</w:t>
      </w:r>
    </w:p>
    <w:p>
      <w:r>
        <w:rPr>
          <w:b/>
          <w:color w:val="1B3A5C"/>
        </w:rPr>
        <w:t xml:space="preserve">Situation: </w:t>
      </w:r>
      <w:r>
        <w:t>An employee needs a specific tool for a project that is not in the approved catalog.</w:t>
      </w:r>
    </w:p>
    <w:p>
      <w:r>
        <w:rPr>
          <w:b/>
          <w:color w:val="1B3A5C"/>
        </w:rPr>
        <w:t xml:space="preserve">Relevant Requirements: </w:t>
      </w:r>
      <w:r>
        <w:t>Software Installation Policy, SEC-006</w:t>
      </w:r>
    </w:p>
    <w:p>
      <w:r>
        <w:rPr>
          <w:b/>
          <w:color w:val="1B3A5C"/>
        </w:rPr>
        <w:t xml:space="preserve">Expected Process: </w:t>
      </w:r>
      <w:r>
        <w:t>The employee must submit a software evaluation request via ITSM. IT and Security will review the tool for risks. If approved, it is deployed via the centralized endpoint manager.</w:t>
      </w:r>
    </w:p>
    <w:p>
      <w:r>
        <w:rPr>
          <w:b/>
          <w:color w:val="1B3A5C"/>
        </w:rPr>
        <w:t xml:space="preserve">Outcome: </w:t>
      </w:r>
      <w:r>
        <w:t>The tool is installed securely without compromising endpoint integrity.</w:t>
      </w:r>
    </w:p>
    <w:p/>
    <w:p>
      <w:pPr>
        <w:pStyle w:val="Heading3"/>
      </w:pPr>
      <w:r>
        <w:t>Scenario 3: Unapproved Software Request</w:t>
      </w:r>
    </w:p>
    <w:p>
      <w:r>
        <w:rPr>
          <w:b/>
          <w:color w:val="1B3A5C"/>
        </w:rPr>
        <w:t xml:space="preserve">Situation: </w:t>
      </w:r>
      <w:r>
        <w:t>An employee needs a specific tool for a project that is not in the approved catalog.</w:t>
      </w:r>
    </w:p>
    <w:p>
      <w:r>
        <w:rPr>
          <w:b/>
          <w:color w:val="1B3A5C"/>
        </w:rPr>
        <w:t xml:space="preserve">Relevant Requirements: </w:t>
      </w:r>
      <w:r>
        <w:t>Software Installation Policy, SEC-006</w:t>
      </w:r>
    </w:p>
    <w:p>
      <w:r>
        <w:rPr>
          <w:b/>
          <w:color w:val="1B3A5C"/>
        </w:rPr>
        <w:t xml:space="preserve">Expected Process: </w:t>
      </w:r>
      <w:r>
        <w:t>The employee must submit a software evaluation request via ITSM. IT and Security will review the tool for risks. If approved, it is deployed via the centralized endpoint manager.</w:t>
      </w:r>
    </w:p>
    <w:p>
      <w:r>
        <w:rPr>
          <w:b/>
          <w:color w:val="1B3A5C"/>
        </w:rPr>
        <w:t xml:space="preserve">Outcome: </w:t>
      </w:r>
      <w:r>
        <w:t>The tool is installed securely without compromising endpoint integrity.</w:t>
      </w:r>
    </w:p>
    <w:p/>
    <w:p>
      <w:pPr>
        <w:pStyle w:val="Heading3"/>
      </w:pPr>
      <w:r>
        <w:t>Scenario 4: Unapproved Software Request</w:t>
      </w:r>
    </w:p>
    <w:p>
      <w:r>
        <w:rPr>
          <w:b/>
          <w:color w:val="1B3A5C"/>
        </w:rPr>
        <w:t xml:space="preserve">Situation: </w:t>
      </w:r>
      <w:r>
        <w:t>An employee needs a specific tool for a project that is not in the approved catalog.</w:t>
      </w:r>
    </w:p>
    <w:p>
      <w:r>
        <w:rPr>
          <w:b/>
          <w:color w:val="1B3A5C"/>
        </w:rPr>
        <w:t xml:space="preserve">Relevant Requirements: </w:t>
      </w:r>
      <w:r>
        <w:t>Software Installation Policy, SEC-006</w:t>
      </w:r>
    </w:p>
    <w:p>
      <w:r>
        <w:rPr>
          <w:b/>
          <w:color w:val="1B3A5C"/>
        </w:rPr>
        <w:t xml:space="preserve">Expected Process: </w:t>
      </w:r>
      <w:r>
        <w:t>The employee must submit a software evaluation request via ITSM. IT and Security will review the tool for risks. If approved, it is deployed via the centralized endpoint manager.</w:t>
      </w:r>
    </w:p>
    <w:p>
      <w:r>
        <w:rPr>
          <w:b/>
          <w:color w:val="1B3A5C"/>
        </w:rPr>
        <w:t xml:space="preserve">Outcome: </w:t>
      </w:r>
      <w:r>
        <w:t>The tool is installed securely without compromising endpoint integrity.</w:t>
      </w:r>
    </w:p>
    <w:p/>
    <w:p>
      <w:pPr>
        <w:pStyle w:val="Heading3"/>
      </w:pPr>
      <w:r>
        <w:t>Scenario 5: Unapproved Software Request</w:t>
      </w:r>
    </w:p>
    <w:p>
      <w:r>
        <w:rPr>
          <w:b/>
          <w:color w:val="1B3A5C"/>
        </w:rPr>
        <w:t xml:space="preserve">Situation: </w:t>
      </w:r>
      <w:r>
        <w:t>An employee needs a specific tool for a project that is not in the approved catalog.</w:t>
      </w:r>
    </w:p>
    <w:p>
      <w:r>
        <w:rPr>
          <w:b/>
          <w:color w:val="1B3A5C"/>
        </w:rPr>
        <w:t xml:space="preserve">Relevant Requirements: </w:t>
      </w:r>
      <w:r>
        <w:t>Software Installation Policy, SEC-006</w:t>
      </w:r>
    </w:p>
    <w:p>
      <w:r>
        <w:rPr>
          <w:b/>
          <w:color w:val="1B3A5C"/>
        </w:rPr>
        <w:t xml:space="preserve">Expected Process: </w:t>
      </w:r>
      <w:r>
        <w:t>The employee must submit a software evaluation request via ITSM. IT and Security will review the tool for risks. If approved, it is deployed via the centralized endpoint manager.</w:t>
      </w:r>
    </w:p>
    <w:p>
      <w:r>
        <w:rPr>
          <w:b/>
          <w:color w:val="1B3A5C"/>
        </w:rPr>
        <w:t xml:space="preserve">Outcome: </w:t>
      </w:r>
      <w:r>
        <w:t>The tool is installed securely without compromising endpoint integrity.</w:t>
      </w:r>
    </w:p>
    <w:p/>
    <w:p>
      <w:pPr>
        <w:pStyle w:val="Heading3"/>
      </w:pPr>
      <w:r>
        <w:t>Scenario 6: Unapproved Software Request</w:t>
      </w:r>
    </w:p>
    <w:p>
      <w:r>
        <w:rPr>
          <w:b/>
          <w:color w:val="1B3A5C"/>
        </w:rPr>
        <w:t xml:space="preserve">Situation: </w:t>
      </w:r>
      <w:r>
        <w:t>An employee needs a specific tool for a project that is not in the approved catalog.</w:t>
      </w:r>
    </w:p>
    <w:p>
      <w:r>
        <w:rPr>
          <w:b/>
          <w:color w:val="1B3A5C"/>
        </w:rPr>
        <w:t xml:space="preserve">Relevant Requirements: </w:t>
      </w:r>
      <w:r>
        <w:t>Software Installation Policy, SEC-006</w:t>
      </w:r>
    </w:p>
    <w:p>
      <w:r>
        <w:rPr>
          <w:b/>
          <w:color w:val="1B3A5C"/>
        </w:rPr>
        <w:t xml:space="preserve">Expected Process: </w:t>
      </w:r>
      <w:r>
        <w:t>The employee must submit a software evaluation request via ITSM. IT and Security will review the tool for risks. If approved, it is deployed via the centralized endpoint manager.</w:t>
      </w:r>
    </w:p>
    <w:p>
      <w:r>
        <w:rPr>
          <w:b/>
          <w:color w:val="1B3A5C"/>
        </w:rPr>
        <w:t xml:space="preserve">Outcome: </w:t>
      </w:r>
      <w:r>
        <w:t>The tool is installed securely without compromising endpoint integrity.</w:t>
      </w:r>
    </w:p>
    <w:p/>
    <w:p>
      <w:pPr>
        <w:pStyle w:val="Heading3"/>
      </w:pPr>
      <w:r>
        <w:t>Scenario 7: Unapproved Software Request</w:t>
      </w:r>
    </w:p>
    <w:p>
      <w:r>
        <w:rPr>
          <w:b/>
          <w:color w:val="1B3A5C"/>
        </w:rPr>
        <w:t xml:space="preserve">Situation: </w:t>
      </w:r>
      <w:r>
        <w:t>An employee needs a specific tool for a project that is not in the approved catalog.</w:t>
      </w:r>
    </w:p>
    <w:p>
      <w:r>
        <w:rPr>
          <w:b/>
          <w:color w:val="1B3A5C"/>
        </w:rPr>
        <w:t xml:space="preserve">Relevant Requirements: </w:t>
      </w:r>
      <w:r>
        <w:t>Software Installation Policy, SEC-006</w:t>
      </w:r>
    </w:p>
    <w:p>
      <w:r>
        <w:rPr>
          <w:b/>
          <w:color w:val="1B3A5C"/>
        </w:rPr>
        <w:t xml:space="preserve">Expected Process: </w:t>
      </w:r>
      <w:r>
        <w:t>The employee must submit a software evaluation request via ITSM. IT and Security will review the tool for risks. If approved, it is deployed via the centralized endpoint manager.</w:t>
      </w:r>
    </w:p>
    <w:p>
      <w:r>
        <w:rPr>
          <w:b/>
          <w:color w:val="1B3A5C"/>
        </w:rPr>
        <w:t xml:space="preserve">Outcome: </w:t>
      </w:r>
      <w:r>
        <w:t>The tool is installed securely without compromising endpoint integrity.</w:t>
      </w:r>
    </w:p>
    <w:p/>
    <w:p>
      <w:pPr>
        <w:pStyle w:val="Heading3"/>
      </w:pPr>
      <w:r>
        <w:t>Scenario 8: Unapproved Software Request</w:t>
      </w:r>
    </w:p>
    <w:p>
      <w:r>
        <w:rPr>
          <w:b/>
          <w:color w:val="1B3A5C"/>
        </w:rPr>
        <w:t xml:space="preserve">Situation: </w:t>
      </w:r>
      <w:r>
        <w:t>An employee needs a specific tool for a project that is not in the approved catalog.</w:t>
      </w:r>
    </w:p>
    <w:p>
      <w:r>
        <w:rPr>
          <w:b/>
          <w:color w:val="1B3A5C"/>
        </w:rPr>
        <w:t xml:space="preserve">Relevant Requirements: </w:t>
      </w:r>
      <w:r>
        <w:t>Software Installation Policy, SEC-006</w:t>
      </w:r>
    </w:p>
    <w:p>
      <w:r>
        <w:rPr>
          <w:b/>
          <w:color w:val="1B3A5C"/>
        </w:rPr>
        <w:t xml:space="preserve">Expected Process: </w:t>
      </w:r>
      <w:r>
        <w:t>The employee must submit a software evaluation request via ITSM. IT and Security will review the tool for risks. If approved, it is deployed via the centralized endpoint manager.</w:t>
      </w:r>
    </w:p>
    <w:p>
      <w:r>
        <w:rPr>
          <w:b/>
          <w:color w:val="1B3A5C"/>
        </w:rPr>
        <w:t xml:space="preserve">Outcome: </w:t>
      </w:r>
      <w:r>
        <w:t>The tool is installed securely without compromising endpoint integrity.</w:t>
      </w:r>
    </w:p>
    <w:p/>
    <w:p>
      <w:pPr>
        <w:pStyle w:val="Heading3"/>
      </w:pPr>
      <w:r>
        <w:t>Scenario 9: Unapproved Software Request</w:t>
      </w:r>
    </w:p>
    <w:p>
      <w:r>
        <w:rPr>
          <w:b/>
          <w:color w:val="1B3A5C"/>
        </w:rPr>
        <w:t xml:space="preserve">Situation: </w:t>
      </w:r>
      <w:r>
        <w:t>An employee needs a specific tool for a project that is not in the approved catalog.</w:t>
      </w:r>
    </w:p>
    <w:p>
      <w:r>
        <w:rPr>
          <w:b/>
          <w:color w:val="1B3A5C"/>
        </w:rPr>
        <w:t xml:space="preserve">Relevant Requirements: </w:t>
      </w:r>
      <w:r>
        <w:t>Software Installation Policy, SEC-006</w:t>
      </w:r>
    </w:p>
    <w:p>
      <w:r>
        <w:rPr>
          <w:b/>
          <w:color w:val="1B3A5C"/>
        </w:rPr>
        <w:t xml:space="preserve">Expected Process: </w:t>
      </w:r>
      <w:r>
        <w:t>The employee must submit a software evaluation request via ITSM. IT and Security will review the tool for risks. If approved, it is deployed via the centralized endpoint manager.</w:t>
      </w:r>
    </w:p>
    <w:p>
      <w:r>
        <w:rPr>
          <w:b/>
          <w:color w:val="1B3A5C"/>
        </w:rPr>
        <w:t xml:space="preserve">Outcome: </w:t>
      </w:r>
      <w:r>
        <w:t>The tool is installed securely without compromising endpoint integrity.</w:t>
      </w:r>
    </w:p>
    <w:p/>
    <w:p>
      <w:pPr>
        <w:pStyle w:val="Heading1"/>
      </w:pPr>
      <w:r>
        <w:t>11. FAQs</w:t>
      </w:r>
    </w:p>
    <w:p>
      <w:r>
        <w:rPr>
          <w:rFonts w:ascii="Calibri" w:hAnsi="Calibri"/>
          <w:b/>
          <w:color w:val="1B3A5C"/>
          <w:sz w:val="22"/>
        </w:rPr>
        <w:t>Q: Can I check my personal email on my work laptop? (FAQ 1)</w:t>
      </w:r>
    </w:p>
    <w:p>
      <w:pPr>
        <w:spacing w:after="240"/>
      </w:pPr>
      <w:r>
        <w:rPr>
          <w:rFonts w:ascii="Calibri" w:hAnsi="Calibri"/>
          <w:color w:val="333333"/>
          <w:sz w:val="22"/>
        </w:rPr>
        <w:t>A: Yes, limited access to personal webmail during breaks is permitted, provided you do not download attachments or upload Vistara data.</w:t>
      </w:r>
    </w:p>
    <w:p>
      <w:r>
        <w:rPr>
          <w:rFonts w:ascii="Calibri" w:hAnsi="Calibri"/>
          <w:b/>
          <w:color w:val="1B3A5C"/>
          <w:sz w:val="22"/>
        </w:rPr>
        <w:t>Q: Can I check my personal email on my work laptop? (FAQ 2)</w:t>
      </w:r>
    </w:p>
    <w:p>
      <w:pPr>
        <w:spacing w:after="240"/>
      </w:pPr>
      <w:r>
        <w:rPr>
          <w:rFonts w:ascii="Calibri" w:hAnsi="Calibri"/>
          <w:color w:val="333333"/>
          <w:sz w:val="22"/>
        </w:rPr>
        <w:t>A: Yes, limited access to personal webmail during breaks is permitted, provided you do not download attachments or upload Vistara data.</w:t>
      </w:r>
    </w:p>
    <w:p>
      <w:r>
        <w:rPr>
          <w:rFonts w:ascii="Calibri" w:hAnsi="Calibri"/>
          <w:b/>
          <w:color w:val="1B3A5C"/>
          <w:sz w:val="22"/>
        </w:rPr>
        <w:t>Q: Can I check my personal email on my work laptop? (FAQ 3)</w:t>
      </w:r>
    </w:p>
    <w:p>
      <w:pPr>
        <w:spacing w:after="240"/>
      </w:pPr>
      <w:r>
        <w:rPr>
          <w:rFonts w:ascii="Calibri" w:hAnsi="Calibri"/>
          <w:color w:val="333333"/>
          <w:sz w:val="22"/>
        </w:rPr>
        <w:t>A: Yes, limited access to personal webmail during breaks is permitted, provided you do not download attachments or upload Vistara data.</w:t>
      </w:r>
    </w:p>
    <w:p>
      <w:r>
        <w:rPr>
          <w:rFonts w:ascii="Calibri" w:hAnsi="Calibri"/>
          <w:b/>
          <w:color w:val="1B3A5C"/>
          <w:sz w:val="22"/>
        </w:rPr>
        <w:t>Q: Can I check my personal email on my work laptop? (FAQ 4)</w:t>
      </w:r>
    </w:p>
    <w:p>
      <w:pPr>
        <w:spacing w:after="240"/>
      </w:pPr>
      <w:r>
        <w:rPr>
          <w:rFonts w:ascii="Calibri" w:hAnsi="Calibri"/>
          <w:color w:val="333333"/>
          <w:sz w:val="22"/>
        </w:rPr>
        <w:t>A: Yes, limited access to personal webmail during breaks is permitted, provided you do not download attachments or upload Vistara data.</w:t>
      </w:r>
    </w:p>
    <w:p>
      <w:r>
        <w:rPr>
          <w:rFonts w:ascii="Calibri" w:hAnsi="Calibri"/>
          <w:b/>
          <w:color w:val="1B3A5C"/>
          <w:sz w:val="22"/>
        </w:rPr>
        <w:t>Q: Can I check my personal email on my work laptop? (FAQ 5)</w:t>
      </w:r>
    </w:p>
    <w:p>
      <w:pPr>
        <w:spacing w:after="240"/>
      </w:pPr>
      <w:r>
        <w:rPr>
          <w:rFonts w:ascii="Calibri" w:hAnsi="Calibri"/>
          <w:color w:val="333333"/>
          <w:sz w:val="22"/>
        </w:rPr>
        <w:t>A: Yes, limited access to personal webmail during breaks is permitted, provided you do not download attachments or upload Vistara data.</w:t>
      </w:r>
    </w:p>
    <w:p>
      <w:r>
        <w:rPr>
          <w:rFonts w:ascii="Calibri" w:hAnsi="Calibri"/>
          <w:b/>
          <w:color w:val="1B3A5C"/>
          <w:sz w:val="22"/>
        </w:rPr>
        <w:t>Q: Can I check my personal email on my work laptop? (FAQ 6)</w:t>
      </w:r>
    </w:p>
    <w:p>
      <w:pPr>
        <w:spacing w:after="240"/>
      </w:pPr>
      <w:r>
        <w:rPr>
          <w:rFonts w:ascii="Calibri" w:hAnsi="Calibri"/>
          <w:color w:val="333333"/>
          <w:sz w:val="22"/>
        </w:rPr>
        <w:t>A: Yes, limited access to personal webmail during breaks is permitted, provided you do not download attachments or upload Vistara data.</w:t>
      </w:r>
    </w:p>
    <w:p>
      <w:r>
        <w:rPr>
          <w:rFonts w:ascii="Calibri" w:hAnsi="Calibri"/>
          <w:b/>
          <w:color w:val="1B3A5C"/>
          <w:sz w:val="22"/>
        </w:rPr>
        <w:t>Q: Can I check my personal email on my work laptop? (FAQ 7)</w:t>
      </w:r>
    </w:p>
    <w:p>
      <w:pPr>
        <w:spacing w:after="240"/>
      </w:pPr>
      <w:r>
        <w:rPr>
          <w:rFonts w:ascii="Calibri" w:hAnsi="Calibri"/>
          <w:color w:val="333333"/>
          <w:sz w:val="22"/>
        </w:rPr>
        <w:t>A: Yes, limited access to personal webmail during breaks is permitted, provided you do not download attachments or upload Vistara data.</w:t>
      </w:r>
    </w:p>
    <w:p>
      <w:r>
        <w:rPr>
          <w:rFonts w:ascii="Calibri" w:hAnsi="Calibri"/>
          <w:b/>
          <w:color w:val="1B3A5C"/>
          <w:sz w:val="22"/>
        </w:rPr>
        <w:t>Q: Can I check my personal email on my work laptop? (FAQ 8)</w:t>
      </w:r>
    </w:p>
    <w:p>
      <w:pPr>
        <w:spacing w:after="240"/>
      </w:pPr>
      <w:r>
        <w:rPr>
          <w:rFonts w:ascii="Calibri" w:hAnsi="Calibri"/>
          <w:color w:val="333333"/>
          <w:sz w:val="22"/>
        </w:rPr>
        <w:t>A: Yes, limited access to personal webmail during breaks is permitted, provided you do not download attachments or upload Vistara data.</w:t>
      </w:r>
    </w:p>
    <w:p>
      <w:r>
        <w:rPr>
          <w:rFonts w:ascii="Calibri" w:hAnsi="Calibri"/>
          <w:b/>
          <w:color w:val="1B3A5C"/>
          <w:sz w:val="22"/>
        </w:rPr>
        <w:t>Q: Can I check my personal email on my work laptop? (FAQ 9)</w:t>
      </w:r>
    </w:p>
    <w:p>
      <w:pPr>
        <w:spacing w:after="240"/>
      </w:pPr>
      <w:r>
        <w:rPr>
          <w:rFonts w:ascii="Calibri" w:hAnsi="Calibri"/>
          <w:color w:val="333333"/>
          <w:sz w:val="22"/>
        </w:rPr>
        <w:t>A: Yes, limited access to personal webmail during breaks is permitted, provided you do not download attachments or upload Vistara data.</w:t>
      </w:r>
    </w:p>
    <w:p>
      <w:r>
        <w:rPr>
          <w:rFonts w:ascii="Calibri" w:hAnsi="Calibri"/>
          <w:b/>
          <w:color w:val="1B3A5C"/>
          <w:sz w:val="22"/>
        </w:rPr>
        <w:t>Q: Can I check my personal email on my work laptop? (FAQ 10)</w:t>
      </w:r>
    </w:p>
    <w:p>
      <w:pPr>
        <w:spacing w:after="240"/>
      </w:pPr>
      <w:r>
        <w:rPr>
          <w:rFonts w:ascii="Calibri" w:hAnsi="Calibri"/>
          <w:color w:val="333333"/>
          <w:sz w:val="22"/>
        </w:rPr>
        <w:t>A: Yes, limited access to personal webmail during breaks is permitted, provided you do not download attachments or upload Vistara data.</w:t>
      </w:r>
    </w:p>
    <w:p>
      <w:r>
        <w:rPr>
          <w:rFonts w:ascii="Calibri" w:hAnsi="Calibri"/>
          <w:b/>
          <w:color w:val="1B3A5C"/>
          <w:sz w:val="22"/>
        </w:rPr>
        <w:t>Q: Can I check my personal email on my work laptop? (FAQ 11)</w:t>
      </w:r>
    </w:p>
    <w:p>
      <w:pPr>
        <w:spacing w:after="240"/>
      </w:pPr>
      <w:r>
        <w:rPr>
          <w:rFonts w:ascii="Calibri" w:hAnsi="Calibri"/>
          <w:color w:val="333333"/>
          <w:sz w:val="22"/>
        </w:rPr>
        <w:t>A: Yes, limited access to personal webmail during breaks is permitted, provided you do not download attachments or upload Vistara data.</w:t>
      </w:r>
    </w:p>
    <w:p>
      <w:r>
        <w:rPr>
          <w:rFonts w:ascii="Calibri" w:hAnsi="Calibri"/>
          <w:b/>
          <w:color w:val="1B3A5C"/>
          <w:sz w:val="22"/>
        </w:rPr>
        <w:t>Q: Can I check my personal email on my work laptop? (FAQ 12)</w:t>
      </w:r>
    </w:p>
    <w:p>
      <w:pPr>
        <w:spacing w:after="240"/>
      </w:pPr>
      <w:r>
        <w:rPr>
          <w:rFonts w:ascii="Calibri" w:hAnsi="Calibri"/>
          <w:color w:val="333333"/>
          <w:sz w:val="22"/>
        </w:rPr>
        <w:t>A: Yes, limited access to personal webmail during breaks is permitted, provided you do not download attachments or upload Vistara data.</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2.1</w:t>
            </w:r>
          </w:p>
        </w:tc>
        <w:tc>
          <w:tcPr>
            <w:tcW w:type="dxa" w:w="1872"/>
          </w:tcPr>
          <w:p>
            <w:r>
              <w:rPr>
                <w:rFonts w:ascii="Calibri" w:hAnsi="Calibri"/>
                <w:color w:val="333333"/>
                <w:sz w:val="18"/>
              </w:rPr>
              <w:t>01 Aug 2025</w:t>
            </w:r>
          </w:p>
        </w:tc>
        <w:tc>
          <w:tcPr>
            <w:tcW w:type="dxa" w:w="2160"/>
          </w:tcPr>
          <w:p>
            <w:r>
              <w:rPr>
                <w:rFonts w:ascii="Calibri" w:hAnsi="Calibri"/>
                <w:color w:val="333333"/>
                <w:sz w:val="18"/>
              </w:rPr>
              <w:t>IT Risk</w:t>
            </w:r>
          </w:p>
        </w:tc>
        <w:tc>
          <w:tcPr>
            <w:tcW w:type="dxa" w:w="4320"/>
          </w:tcPr>
          <w:p>
            <w:r>
              <w:rPr>
                <w:rFonts w:ascii="Calibri" w:hAnsi="Calibri"/>
                <w:color w:val="333333"/>
                <w:sz w:val="18"/>
              </w:rPr>
              <w:t>Updated BYOD controls</w:t>
            </w:r>
          </w:p>
        </w:tc>
      </w:tr>
      <w:tr>
        <w:tc>
          <w:tcPr>
            <w:tcW w:type="dxa" w:w="1152"/>
            <w:shd w:fill="F2F6FA" w:val="clear"/>
          </w:tcPr>
          <w:p>
            <w:r>
              <w:rPr>
                <w:rFonts w:ascii="Calibri" w:hAnsi="Calibri"/>
                <w:color w:val="333333"/>
                <w:sz w:val="18"/>
              </w:rPr>
              <w:t>2.2</w:t>
            </w:r>
          </w:p>
        </w:tc>
        <w:tc>
          <w:tcPr>
            <w:tcW w:type="dxa" w:w="1872"/>
            <w:shd w:fill="F2F6FA" w:val="clear"/>
          </w:tcPr>
          <w:p>
            <w:r>
              <w:rPr>
                <w:rFonts w:ascii="Calibri" w:hAnsi="Calibri"/>
                <w:color w:val="333333"/>
                <w:sz w:val="18"/>
              </w:rPr>
              <w:t>01 Feb 2026</w:t>
            </w:r>
          </w:p>
        </w:tc>
        <w:tc>
          <w:tcPr>
            <w:tcW w:type="dxa" w:w="2160"/>
            <w:shd w:fill="F2F6FA" w:val="clear"/>
          </w:tcPr>
          <w:p>
            <w:r>
              <w:rPr>
                <w:rFonts w:ascii="Calibri" w:hAnsi="Calibri"/>
                <w:color w:val="333333"/>
                <w:sz w:val="18"/>
              </w:rPr>
              <w:t>Head of IT</w:t>
            </w:r>
          </w:p>
        </w:tc>
        <w:tc>
          <w:tcPr>
            <w:tcW w:type="dxa" w:w="4320"/>
            <w:shd w:fill="F2F6FA" w:val="clear"/>
          </w:tcPr>
          <w:p>
            <w:r>
              <w:rPr>
                <w:rFonts w:ascii="Calibri" w:hAnsi="Calibri"/>
                <w:color w:val="333333"/>
                <w:sz w:val="18"/>
              </w:rPr>
              <w:t>Added GenAI restrictions and USB disablement by default</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SEC-006</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