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VISTARA GLOBAL SYSTEMS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Pvt. Ltd.</w:t>
      </w:r>
    </w:p>
    <w:p>
      <w:pPr>
        <w:jc w:val="center"/>
      </w:pPr>
      <w:r>
        <w:rPr>
          <w:color w:val="1B3A5C"/>
          <w:sz w:val="24"/>
        </w:rPr>
        <w:t>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333333"/>
          <w:sz w:val="44"/>
        </w:rPr>
        <w:t>Network Security Policy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ID: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SEC-008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Version: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2.1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Status: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Approved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Classification: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Confidential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Policy Owner: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Head of IT &amp; Security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Approved By: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CISO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Effective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April 2026</w:t>
            </w:r>
          </w:p>
        </w:tc>
      </w:tr>
      <w:tr>
        <w:tc>
          <w:tcPr>
            <w:tcW w:type="dxa" w:w="360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1B3A5C"/>
                <w:sz w:val="22"/>
              </w:rPr>
              <w:t>Next Review Date:</w:t>
            </w:r>
          </w:p>
        </w:tc>
        <w:tc>
          <w:tcPr>
            <w:tcW w:type="dxa" w:w="50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color w:val="333333"/>
                <w:sz w:val="22"/>
              </w:rPr>
              <w:t xml:space="preserve">  01 April 2027</w:t>
            </w:r>
          </w:p>
        </w:tc>
      </w:tr>
    </w:tbl>
    <w:p/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Fictional enterprise policy document for demonstration and knowledge-assistant testing.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Document ID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SEC-008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Name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Network Security Policy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2.1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Approved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Classification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Confidential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Head of IT &amp; Security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CISO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April 2026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01 April 2027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Review Frequency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Annual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Applicable Employees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Network engineers, IT administrators, and Security personnel.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Supersedes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Version 2.0 (01 October 2025)</w:t>
            </w:r>
          </w:p>
        </w:tc>
      </w:tr>
      <w:tr>
        <w:tc>
          <w:tcPr>
            <w:tcW w:type="dxa" w:w="2880"/>
            <w:shd w:fill="E8EFF7" w:val="clear"/>
          </w:tcPr>
          <w:p>
            <w:r>
              <w:rPr>
                <w:rFonts w:ascii="Calibri" w:hAnsi="Calibri"/>
                <w:b/>
                <w:color w:val="1B3A5C"/>
                <w:sz w:val="20"/>
              </w:rPr>
              <w:t>Related Policies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color w:val="333333"/>
                <w:sz w:val="20"/>
              </w:rPr>
              <w:t>SEC-001, SEC-002, SEC-007, SEC-010, ENG-006, ENG-008</w:t>
            </w:r>
          </w:p>
        </w:tc>
      </w:tr>
    </w:tbl>
    <w:p/>
    <w:p>
      <w:pPr>
        <w:pStyle w:val="Heading1"/>
      </w:pPr>
      <w:r>
        <w:t>Table of Contents</w:t>
      </w:r>
    </w:p>
    <w:p>
      <w:r>
        <w:rPr>
          <w:i/>
          <w:color w:val="666666"/>
          <w:sz w:val="18"/>
        </w:rPr>
        <w:t>[This Table of Contents is automatically generated when the document is opened in Microsoft Word. Right-click and select 'Update Field' to refresh.]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color w:val="666666"/>
        </w:rPr>
        <w:t>(Update this field to see Table of Contents)</w:t>
      </w:r>
      <w:r>
        <w:fldChar w:fldCharType="end"/>
      </w:r>
    </w:p>
    <w:p>
      <w:r>
        <w:br w:type="page"/>
      </w:r>
    </w:p>
    <w:p>
      <w:pPr>
        <w:pStyle w:val="Heading1"/>
      </w:pPr>
      <w:r>
        <w:t>1. Network Architecture &amp; Segmentation</w:t>
      </w:r>
    </w:p>
    <w:p>
      <w:pPr/>
      <w:r>
        <w:t>Vistara maintains a segmented network architecture to limit lateral movement and contain potential breaches. The network is divided into dedicated zones: DMZ, Production, Development, Corporate, and Guest. Segmentation is enforced via VLANs and Next-Gen Firewalls. Micro-segmentation is implemented within the Production zone for critical applications.</w:t>
      </w:r>
    </w:p>
    <w:p>
      <w:pPr>
        <w:pStyle w:val="Heading1"/>
      </w:pPr>
      <w:r>
        <w:t>2. Boundary Protection (Firewalls &amp; IPS)</w:t>
      </w:r>
    </w:p>
    <w:p>
      <w:pPr/>
      <w:r>
        <w:t>Next-Gen Firewalls govern traffic between zones using a 'default deny' rule. Any network change requests must follow the ENG-003 Change Management process. An annual review of all firewall rules is mandatory.</w:t>
      </w:r>
    </w:p>
    <w:p>
      <w:pPr/>
      <w:r>
        <w:t>Intrusion Detection and Prevention Systems (IDS/IPS) must be active on all external network boundaries, operating in prevention mode for known high-confidence threats.</w:t>
      </w:r>
    </w:p>
    <w:p>
      <w:pPr>
        <w:pStyle w:val="Heading1"/>
      </w:pPr>
      <w:r>
        <w:t>3. Network Monitoring &amp; Logging</w:t>
      </w:r>
    </w:p>
    <w:p>
      <w:pPr/>
      <w:r>
        <w:t>24x7 SOC Monitoring is provided for all critical network chokepoints. NetFlow analysis and anomaly detection are utilized to identify exfiltration or abnormal behavior.</w:t>
      </w:r>
    </w:p>
    <w:p>
      <w:pPr/>
      <w:r>
        <w:t>All network events (firewall drops, VPN logins, routing changes) must be forwarded to the central SIEM. Logs are retained for a minimum of 12 months.</w:t>
      </w:r>
    </w:p>
    <w:p>
      <w:pPr>
        <w:pStyle w:val="Heading1"/>
      </w:pPr>
      <w:r>
        <w:t>4. Access Controls</w:t>
      </w:r>
    </w:p>
    <w:p>
      <w:pPr/>
      <w:r>
        <w:t>Wireless Security: Corporate Wi-Fi utilizes WPA3 Enterprise with 802.1X certificate-based authentication. Separate SSIDs exist for Corporate and Guest networks. Open or pre-shared key networks are prohibited for corporate data.</w:t>
      </w:r>
    </w:p>
    <w:p>
      <w:pPr/>
      <w:r>
        <w:t>VPN Requirements: Remote access requires an always-on VPN solution with MFA. Split tunneling is strictly prohibited for corporate traffic to ensure all internet-bound traffic routes through Vistara's security stack.</w:t>
      </w:r>
    </w:p>
    <w:p>
      <w:pPr/>
      <w:r>
        <w:t>Network Access Control (NAC): 802.1X is mandated for all wired switch ports.</w:t>
      </w:r>
    </w:p>
    <w:p>
      <w:pPr>
        <w:pStyle w:val="Heading1"/>
      </w:pPr>
      <w:r>
        <w:t>5. DNS &amp; DDoS Protection</w:t>
      </w:r>
    </w:p>
    <w:p>
      <w:pPr/>
      <w:r>
        <w:t>DNS Security: DNS filtering is active globally to block malicious domains. DNSSEC is implemented for all Vistara-owned domains.</w:t>
      </w:r>
    </w:p>
    <w:p>
      <w:pPr/>
      <w:r>
        <w:t>DDoS Protection: Edge protection services route external traffic through a scrubbing center to mitigate volumetric DDoS attacks.</w:t>
      </w:r>
    </w:p>
    <w:p>
      <w:pPr>
        <w:pStyle w:val="Heading1"/>
      </w:pPr>
      <w:r>
        <w:t>6. Assessments &amp; Testing</w:t>
      </w:r>
    </w:p>
    <w:p>
      <w:pPr/>
      <w:r>
        <w:t>Penetration Testing: An annual external penetration test is mandatory. Internal vulnerability scans run quarterly (or continuously where possible).</w:t>
      </w:r>
    </w:p>
    <w:p>
      <w:pPr>
        <w:pStyle w:val="Heading1"/>
      </w:pPr>
      <w:r>
        <w:t>7. Guest Network</w:t>
      </w:r>
    </w:p>
    <w:p>
      <w:pPr/>
      <w:r>
        <w:t>The Guest network provides internet access only. It is completely isolated from all corporate resources. Registration via a captive portal is required, and access expires after 24 hours.</w:t>
      </w:r>
    </w:p>
    <w:p>
      <w:pPr>
        <w:pStyle w:val="Heading1"/>
      </w:pPr>
      <w:r>
        <w:t>8. Inter-office Connectivity</w:t>
      </w:r>
    </w:p>
    <w:p>
      <w:pPr/>
      <w:r>
        <w:t>Connectivity between Vistara locations (e.g., Bengaluru, Singapore, London) is maintained via secure MPLS and encrypted SD-WAN overlays.</w:t>
      </w:r>
    </w:p>
    <w:p>
      <w:pPr>
        <w:pStyle w:val="Heading1"/>
      </w:pPr>
      <w:r>
        <w:t>9. Site-Specific Configurations</w:t>
      </w:r>
    </w:p>
    <w:p>
      <w:pPr>
        <w:pStyle w:val="Heading2"/>
      </w:pPr>
      <w:r>
        <w:t>9.X Datacenter and Edge Routing in Bengaluru</w:t>
      </w:r>
    </w:p>
    <w:p>
      <w:pPr/>
      <w:r>
        <w:t>For the Bengaluru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Hyderabad</w:t>
      </w:r>
    </w:p>
    <w:p>
      <w:pPr/>
      <w:r>
        <w:t>For the Hyderabad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Pune</w:t>
      </w:r>
    </w:p>
    <w:p>
      <w:pPr/>
      <w:r>
        <w:t>For the Pune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Mumbai</w:t>
      </w:r>
    </w:p>
    <w:p>
      <w:pPr/>
      <w:r>
        <w:t>For the Mumbai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Gurugram</w:t>
      </w:r>
    </w:p>
    <w:p>
      <w:pPr/>
      <w:r>
        <w:t>For the Gurugram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Chennai</w:t>
      </w:r>
    </w:p>
    <w:p>
      <w:pPr/>
      <w:r>
        <w:t>For the Chennai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Kolkata</w:t>
      </w:r>
    </w:p>
    <w:p>
      <w:pPr/>
      <w:r>
        <w:t>For the Kolkata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New Delhi</w:t>
      </w:r>
    </w:p>
    <w:p>
      <w:pPr/>
      <w:r>
        <w:t>For the New Delhi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Singapore</w:t>
      </w:r>
    </w:p>
    <w:p>
      <w:pPr/>
      <w:r>
        <w:t>For the Singapore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Dubai</w:t>
      </w:r>
    </w:p>
    <w:p>
      <w:pPr/>
      <w:r>
        <w:t>For the Dubai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London</w:t>
      </w:r>
    </w:p>
    <w:p>
      <w:pPr/>
      <w:r>
        <w:t>For the London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2"/>
      </w:pPr>
      <w:r>
        <w:t>9.X Datacenter and Edge Routing in Austin</w:t>
      </w:r>
    </w:p>
    <w:p>
      <w:pPr/>
      <w:r>
        <w:t>For the Austin office, the edge routers establish primary IPsec tunnels to the core AWS Transit Gateway. Redundancy is required via a secondary ISP. BGP routing policies must restrict advertisement of non-corporate prefixes.</w:t>
      </w:r>
    </w:p>
    <w:p>
      <w:pPr>
        <w:pStyle w:val="Heading1"/>
      </w:pPr>
      <w:r>
        <w:t>10. Scenarios &amp; FAQs</w:t>
      </w:r>
    </w:p>
    <w:p>
      <w:pPr>
        <w:pStyle w:val="Heading3"/>
      </w:pPr>
      <w:r>
        <w:t>Scenario 1: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1)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3"/>
      </w:pPr>
      <w:r>
        <w:t>Scenario 2: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2)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3"/>
      </w:pPr>
      <w:r>
        <w:t>Scenario 3: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3)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3"/>
      </w:pPr>
      <w:r>
        <w:t>Scenario 4: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4)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3"/>
      </w:pPr>
      <w:r>
        <w:t>Scenario 5: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5)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3"/>
      </w:pPr>
      <w:r>
        <w:t>Scenario 6: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6)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3"/>
      </w:pPr>
      <w:r>
        <w:t>Scenario 7: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7)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3"/>
      </w:pPr>
      <w:r>
        <w:t>Scenario 8: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8)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3"/>
      </w:pPr>
      <w:r>
        <w:t>Scenario 9: Vendor requires temporary access</w:t>
      </w:r>
    </w:p>
    <w:p>
      <w:r>
        <w:rPr>
          <w:b/>
          <w:color w:val="1B3A5C"/>
        </w:rPr>
        <w:t xml:space="preserve">Situation: </w:t>
      </w:r>
      <w:r>
        <w:t>An HVAC vendor needs to monitor office systems remotely.</w:t>
      </w:r>
    </w:p>
    <w:p>
      <w:r>
        <w:rPr>
          <w:b/>
          <w:color w:val="1B3A5C"/>
        </w:rPr>
        <w:t xml:space="preserve">Relevant Requirements: </w:t>
      </w:r>
      <w:r>
        <w:t>Network Access Policy</w:t>
      </w:r>
    </w:p>
    <w:p>
      <w:r>
        <w:rPr>
          <w:b/>
          <w:color w:val="1B3A5C"/>
        </w:rPr>
        <w:t xml:space="preserve">Expected Process: </w:t>
      </w:r>
      <w:r>
        <w:t>The vendor is placed on an isolated IoT VLAN. A specific firewall rule allows outbound HTTPS to their monitoring cloud, but blocks all inbound traffic and lateral movement to Corporate.</w:t>
      </w:r>
    </w:p>
    <w:p>
      <w:r>
        <w:rPr>
          <w:b/>
          <w:color w:val="1B3A5C"/>
        </w:rPr>
        <w:t xml:space="preserve">Outcome: </w:t>
      </w:r>
      <w:r>
        <w:t>Vendor operates securely without posing a risk to Vistara endpoints.</w:t>
      </w:r>
    </w:p>
    <w:p/>
    <w:p>
      <w:r>
        <w:rPr>
          <w:rFonts w:ascii="Calibri" w:hAnsi="Calibri"/>
          <w:b/>
          <w:color w:val="1B3A5C"/>
          <w:sz w:val="22"/>
        </w:rPr>
        <w:t>Q: Why is split tunneling disabled on the VPN? (FAQ 9)</w:t>
      </w:r>
    </w:p>
    <w:p>
      <w:pPr>
        <w:spacing w:after="240"/>
      </w:pPr>
      <w:r>
        <w:rPr>
          <w:rFonts w:ascii="Calibri" w:hAnsi="Calibri"/>
          <w:color w:val="333333"/>
          <w:sz w:val="22"/>
        </w:rPr>
        <w:t>A: Disabling split tunneling ensures that all traffic, even to external websites, passes through our corporate Web Security Gateway to block malware and prevent data exfiltration.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872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Effective Date</w:t>
            </w:r>
          </w:p>
        </w:tc>
        <w:tc>
          <w:tcPr>
            <w:tcW w:type="dxa" w:w="216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Function</w:t>
            </w:r>
          </w:p>
        </w:tc>
        <w:tc>
          <w:tcPr>
            <w:tcW w:type="dxa" w:w="4320"/>
            <w:shd w:fill="1B3A5C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color w:val="333333"/>
                <w:sz w:val="18"/>
              </w:rPr>
              <w:t>2.0</w:t>
            </w:r>
          </w:p>
        </w:tc>
        <w:tc>
          <w:tcPr>
            <w:tcW w:type="dxa" w:w="1872"/>
          </w:tcPr>
          <w:p>
            <w:r>
              <w:rPr>
                <w:rFonts w:ascii="Calibri" w:hAnsi="Calibri"/>
                <w:color w:val="333333"/>
                <w:sz w:val="18"/>
              </w:rPr>
              <w:t>01 Oct 2025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color w:val="333333"/>
                <w:sz w:val="18"/>
              </w:rPr>
              <w:t>Network Architecture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333333"/>
                <w:sz w:val="18"/>
              </w:rPr>
              <w:t>Introduced micro-segmentation</w:t>
            </w:r>
          </w:p>
        </w:tc>
      </w:tr>
      <w:tr>
        <w:tc>
          <w:tcPr>
            <w:tcW w:type="dxa" w:w="115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2.1</w:t>
            </w:r>
          </w:p>
        </w:tc>
        <w:tc>
          <w:tcPr>
            <w:tcW w:type="dxa" w:w="1872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01 Apr 2026</w:t>
            </w:r>
          </w:p>
        </w:tc>
        <w:tc>
          <w:tcPr>
            <w:tcW w:type="dxa" w:w="216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Head of IT</w:t>
            </w:r>
          </w:p>
        </w:tc>
        <w:tc>
          <w:tcPr>
            <w:tcW w:type="dxa" w:w="4320"/>
            <w:shd w:fill="F2F6FA" w:val="clear"/>
          </w:tcPr>
          <w:p>
            <w:r>
              <w:rPr>
                <w:rFonts w:ascii="Calibri" w:hAnsi="Calibri"/>
                <w:color w:val="333333"/>
                <w:sz w:val="18"/>
              </w:rPr>
              <w:t>Disabled split tunneling globally and mandated WPA3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>Vistara Global Systems — Confidential — SEC-008</w:t>
    </w:r>
    <w:r>
      <w:rPr>
        <w:rFonts w:ascii="Calibri" w:hAnsi="Calibri"/>
        <w:color w:val="666666"/>
        <w:sz w:val="16"/>
      </w:rPr>
      <w:t xml:space="preserve">    |    Page </w:t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