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Third-Party Security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SEC-012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CISO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CTO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August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August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SEC-012</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Third-Party Security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1.2</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CISO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CTO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August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August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Procurement, IT, Security, and all Vendor Managers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1.1 (01 February 2026)</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SEC-001, SEC-002, SEC-005, FIN-003, FIN-004, DATA-001, DATA-004, DATA-008, LEGAL-006, LEGAL-007</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Contractual Security Requirements - Implementation Detail 1</w:t>
      </w:r>
    </w:p>
    <w:p>
      <w:pPr/>
      <w:r>
        <w:t>All vendor contracts must include robust security clauses negotiated by the Legal and Procurement teams.</w:t>
      </w:r>
    </w:p>
    <w:p>
      <w:pPr/>
      <w:r>
        <w:t>All vendor contracts must include robust security clauses negotiated by the Legal and Procurement teams.</w:t>
      </w:r>
    </w:p>
    <w:p>
      <w:pPr/>
      <w:r>
        <w:t>All vendor contracts must include robust security clauses negotiated by the Legal and Procurement teams.</w:t>
      </w:r>
    </w:p>
    <w:p>
      <w:pPr/>
      <w:r>
        <w:t>All vendor contracts must include robust security clauses negotiated by the Legal and Procurement teams.</w:t>
      </w:r>
    </w:p>
    <w:p>
      <w:pPr>
        <w:pStyle w:val="ListBullet"/>
      </w:pPr>
      <w:r>
        <w:t>Data Processing Agreements (DPAs) for PII.</w:t>
      </w:r>
    </w:p>
    <w:p>
      <w:pPr>
        <w:pStyle w:val="ListBullet"/>
      </w:pPr>
      <w:r>
        <w:t>Security SLAs and uptime guarantees.</w:t>
      </w:r>
    </w:p>
    <w:p>
      <w:pPr>
        <w:pStyle w:val="ListBullet"/>
      </w:pPr>
      <w:r>
        <w:t>Mandatory breach notification to Vistara within 24 hours of discovery.</w:t>
      </w:r>
    </w:p>
    <w:p>
      <w:pPr>
        <w:pStyle w:val="ListBullet"/>
      </w:pPr>
      <w:r>
        <w:t>Right to Audit clause for Critical vendors.</w:t>
      </w:r>
    </w:p>
    <w:p>
      <w:pPr>
        <w:pStyle w:val="ListBullet"/>
      </w:pPr>
      <w:r>
        <w:t>Data return or certified destruction upon contract termination.</w:t>
      </w:r>
    </w:p>
    <w:p>
      <w:pPr>
        <w:pStyle w:val="Heading1"/>
      </w:pPr>
      <w:r>
        <w:t>2. Vendor Access Management - Implementation Detail 2</w:t>
      </w:r>
    </w:p>
    <w:p>
      <w:pPr/>
      <w:r>
        <w:t>Third-party logical access is strictly controlled and follows the Principle of Least Privilege.</w:t>
      </w:r>
    </w:p>
    <w:p>
      <w:pPr/>
      <w:r>
        <w:t>Third-party logical access is strictly controlled and follows the Principle of Least Privilege.</w:t>
      </w:r>
    </w:p>
    <w:p>
      <w:pPr/>
      <w:r>
        <w:t>Third-party logical access is strictly controlled and follows the Principle of Least Privilege.</w:t>
      </w:r>
    </w:p>
    <w:p>
      <w:pPr/>
      <w:r>
        <w:t>Third-party logical access is strictly controlled and follows the Principle of Least Privilege.</w:t>
      </w:r>
    </w:p>
    <w:p>
      <w:pPr>
        <w:pStyle w:val="ListBullet"/>
      </w:pPr>
      <w:r>
        <w:t>Dedicated, non-shared accounts.</w:t>
      </w:r>
    </w:p>
    <w:p>
      <w:pPr>
        <w:pStyle w:val="ListBullet"/>
      </w:pPr>
      <w:r>
        <w:t>Mandatory MFA and VPN access only.</w:t>
      </w:r>
    </w:p>
    <w:p>
      <w:pPr>
        <w:pStyle w:val="ListBullet"/>
      </w:pPr>
      <w:r>
        <w:t>Time-limited access (auto-expiring).</w:t>
      </w:r>
    </w:p>
    <w:p>
      <w:pPr>
        <w:pStyle w:val="ListBullet"/>
      </w:pPr>
      <w:r>
        <w:t>Quarterly access reviews by the Vendor Sponsor.</w:t>
      </w:r>
    </w:p>
    <w:p>
      <w:pPr>
        <w:pStyle w:val="ListBullet"/>
      </w:pPr>
      <w:r>
        <w:t>No standing privileged access; Just-in-Time (JIT) provisioning required.</w:t>
      </w:r>
    </w:p>
    <w:p>
      <w:pPr>
        <w:pStyle w:val="Heading1"/>
      </w:pPr>
      <w:r>
        <w:t>3. Cloud Vendor and SaaS Security - Implementation Detail 3</w:t>
      </w:r>
    </w:p>
    <w:p>
      <w:pPr/>
      <w:r>
        <w:t>Cloud service providers (AWS, Azure, GCP) and SaaS vendors require additional scrutiny.</w:t>
      </w:r>
    </w:p>
    <w:p>
      <w:pPr/>
      <w:r>
        <w:t>Cloud service providers (AWS, Azure, GCP) and SaaS vendors require additional scrutiny.</w:t>
      </w:r>
    </w:p>
    <w:p>
      <w:pPr/>
      <w:r>
        <w:t>Cloud service providers (AWS, Azure, GCP) and SaaS vendors require additional scrutiny.</w:t>
      </w:r>
    </w:p>
    <w:p>
      <w:pPr/>
      <w:r>
        <w:t>Cloud service providers (AWS, Azure, GCP) and SaaS vendors require additional scrutiny.</w:t>
      </w:r>
    </w:p>
    <w:p>
      <w:pPr>
        <w:pStyle w:val="ListBullet"/>
      </w:pPr>
      <w:r>
        <w:t>Data residency requirements (India localization per DPDP Act if applicable).</w:t>
      </w:r>
    </w:p>
    <w:p>
      <w:pPr>
        <w:pStyle w:val="ListBullet"/>
      </w:pPr>
      <w:r>
        <w:t>Encryption at rest and in transit.</w:t>
      </w:r>
    </w:p>
    <w:p>
      <w:pPr>
        <w:pStyle w:val="ListBullet"/>
      </w:pPr>
      <w:r>
        <w:t>SOC 2 Type II attestation mandatory.</w:t>
      </w:r>
    </w:p>
    <w:p>
      <w:pPr>
        <w:pStyle w:val="ListBullet"/>
      </w:pPr>
      <w:r>
        <w:t>SSO integration with Vistara's Identity Provider (SAML/OIDC).</w:t>
      </w:r>
    </w:p>
    <w:p>
      <w:pPr>
        <w:pStyle w:val="Heading1"/>
      </w:pPr>
      <w:r>
        <w:t>4. Third-Party Risk Assessment Framework - Implementation Detail 4</w:t>
      </w:r>
    </w:p>
    <w:p>
      <w:pPr/>
      <w:r>
        <w:t>The primary objective of the Third-Party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Third-Party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Third-Party Security, the more stringent control shall apply. The policy owner is responsible for monitoring regulatory changes and updating these requirements accordingly.</w:t>
      </w:r>
    </w:p>
    <w:p>
      <w:pPr/>
      <w:r>
        <w:t>Exceptions to the Third-Party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Third-Party Security controls will be conducted by the Internal Audit and Information Security teams. Non-compliance may result in disciplinary action up to and including termination of employment or contract.</w:t>
      </w:r>
    </w:p>
    <w:p>
      <w:pPr/>
      <w:r>
        <w:t>Vistara categorizes vendors into four tiers based on risk exposure and data access.</w:t>
      </w:r>
    </w:p>
    <w:p>
      <w:pPr/>
      <w:r>
        <w:t>The primary objective of the Third-Party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Third-Party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Third-Party Security, the more stringent control shall apply. The policy owner is responsible for monitoring regulatory changes and updating these requirements accordingly.</w:t>
      </w:r>
    </w:p>
    <w:p>
      <w:pPr/>
      <w:r>
        <w:t>Exceptions to the Third-Party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Third-Party Security controls will be conducted by the Internal Audit and Information Security teams. Non-compliance may result in disciplinary action up to and including termination of employment or contract.</w:t>
      </w:r>
    </w:p>
    <w:p>
      <w:pPr/>
      <w:r>
        <w:t>Vistara categorizes vendors into four tiers based on risk exposure and data access.</w:t>
      </w:r>
    </w:p>
    <w:p>
      <w:pPr/>
      <w:r>
        <w:t>The primary objective of the Third-Party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Third-Party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Third-Party Security, the more stringent control shall apply. The policy owner is responsible for monitoring regulatory changes and updating these requirements accordingly.</w:t>
      </w:r>
    </w:p>
    <w:p>
      <w:pPr/>
      <w:r>
        <w:t>Exceptions to the Third-Party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Third-Party Security controls will be conducted by the Internal Audit and Information Security teams. Non-compliance may result in disciplinary action up to and including termination of employment or contract.</w:t>
      </w:r>
    </w:p>
    <w:p>
      <w:pPr/>
      <w:r>
        <w:t>Vistara categorizes vendors into four tiers based on risk exposure and data access.</w:t>
      </w:r>
    </w:p>
    <w:p>
      <w:pPr/>
      <w:r>
        <w:t>The primary objective of the Third-Party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Third-Party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Third-Party Security, the more stringent control shall apply. The policy owner is responsible for monitoring regulatory changes and updating these requirements accordingly.</w:t>
      </w:r>
    </w:p>
    <w:p>
      <w:pPr/>
      <w:r>
        <w:t>Exceptions to the Third-Party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Third-Party Security controls will be conducted by the Internal Audit and Information Security teams. Non-compliance may result in disciplinary action up to and including termination of employment or contract.</w:t>
      </w:r>
    </w:p>
    <w:p>
      <w:pPr/>
      <w:r>
        <w:t>Vistara categorizes vendors into four tiers based on risk exposure and data access.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40"/>
            <w:shd w:fill="1B3A5C" w:val="clear"/>
          </w:tcPr>
          <w:p>
            <w:pPr>
              <w:jc w:val="center"/>
            </w:pPr>
            <w:r>
              <w:rPr>
                <w:rFonts w:ascii="Calibri" w:hAnsi="Calibri"/>
                <w:b/>
                <w:color w:val="FFFFFF"/>
                <w:sz w:val="20"/>
              </w:rPr>
              <w:t>Tier</w:t>
            </w:r>
          </w:p>
        </w:tc>
        <w:tc>
          <w:tcPr>
            <w:tcW w:type="dxa" w:w="3600"/>
            <w:shd w:fill="1B3A5C" w:val="clear"/>
          </w:tcPr>
          <w:p>
            <w:pPr>
              <w:jc w:val="center"/>
            </w:pPr>
            <w:r>
              <w:rPr>
                <w:rFonts w:ascii="Calibri" w:hAnsi="Calibri"/>
                <w:b/>
                <w:color w:val="FFFFFF"/>
                <w:sz w:val="20"/>
              </w:rPr>
              <w:t>Definition</w:t>
            </w:r>
          </w:p>
        </w:tc>
        <w:tc>
          <w:tcPr>
            <w:tcW w:type="dxa" w:w="3600"/>
            <w:shd w:fill="1B3A5C" w:val="clear"/>
          </w:tcPr>
          <w:p>
            <w:pPr>
              <w:jc w:val="center"/>
            </w:pPr>
            <w:r>
              <w:rPr>
                <w:rFonts w:ascii="Calibri" w:hAnsi="Calibri"/>
                <w:b/>
                <w:color w:val="FFFFFF"/>
                <w:sz w:val="20"/>
              </w:rPr>
              <w:t>Assessment Required</w:t>
            </w:r>
          </w:p>
        </w:tc>
        <w:tc>
          <w:tcPr>
            <w:tcW w:type="dxa" w:w="1440"/>
            <w:shd w:fill="1B3A5C" w:val="clear"/>
          </w:tcPr>
          <w:p>
            <w:pPr>
              <w:jc w:val="center"/>
            </w:pPr>
            <w:r>
              <w:rPr>
                <w:rFonts w:ascii="Calibri" w:hAnsi="Calibri"/>
                <w:b/>
                <w:color w:val="FFFFFF"/>
                <w:sz w:val="20"/>
              </w:rPr>
              <w:t>Frequency</w:t>
            </w:r>
          </w:p>
        </w:tc>
      </w:tr>
      <w:tr>
        <w:tc>
          <w:tcPr>
            <w:tcW w:type="dxa" w:w="1440"/>
          </w:tcPr>
          <w:p>
            <w:r>
              <w:rPr>
                <w:rFonts w:ascii="Calibri" w:hAnsi="Calibri"/>
                <w:color w:val="333333"/>
                <w:sz w:val="18"/>
              </w:rPr>
              <w:t>Critical</w:t>
            </w:r>
          </w:p>
        </w:tc>
        <w:tc>
          <w:tcPr>
            <w:tcW w:type="dxa" w:w="3600"/>
          </w:tcPr>
          <w:p>
            <w:r>
              <w:rPr>
                <w:rFonts w:ascii="Calibri" w:hAnsi="Calibri"/>
                <w:color w:val="333333"/>
                <w:sz w:val="18"/>
              </w:rPr>
              <w:t>Access to customer data, core system access</w:t>
            </w:r>
          </w:p>
        </w:tc>
        <w:tc>
          <w:tcPr>
            <w:tcW w:type="dxa" w:w="3600"/>
          </w:tcPr>
          <w:p>
            <w:r>
              <w:rPr>
                <w:rFonts w:ascii="Calibri" w:hAnsi="Calibri"/>
                <w:color w:val="333333"/>
                <w:sz w:val="18"/>
              </w:rPr>
              <w:t>Questionnaire, SOC2/ISO review, Pentest, Right to Audit</w:t>
            </w:r>
          </w:p>
        </w:tc>
        <w:tc>
          <w:tcPr>
            <w:tcW w:type="dxa" w:w="1440"/>
          </w:tcPr>
          <w:p>
            <w:r>
              <w:rPr>
                <w:rFonts w:ascii="Calibri" w:hAnsi="Calibri"/>
                <w:color w:val="333333"/>
                <w:sz w:val="18"/>
              </w:rPr>
              <w:t>Continuous / Annual</w:t>
            </w:r>
          </w:p>
        </w:tc>
      </w:tr>
      <w:tr>
        <w:tc>
          <w:tcPr>
            <w:tcW w:type="dxa" w:w="1440"/>
            <w:shd w:fill="F2F6FA" w:val="clear"/>
          </w:tcPr>
          <w:p>
            <w:r>
              <w:rPr>
                <w:rFonts w:ascii="Calibri" w:hAnsi="Calibri"/>
                <w:color w:val="333333"/>
                <w:sz w:val="18"/>
              </w:rPr>
              <w:t>High</w:t>
            </w:r>
          </w:p>
        </w:tc>
        <w:tc>
          <w:tcPr>
            <w:tcW w:type="dxa" w:w="3600"/>
            <w:shd w:fill="F2F6FA" w:val="clear"/>
          </w:tcPr>
          <w:p>
            <w:r>
              <w:rPr>
                <w:rFonts w:ascii="Calibri" w:hAnsi="Calibri"/>
                <w:color w:val="333333"/>
                <w:sz w:val="18"/>
              </w:rPr>
              <w:t>Internal data access</w:t>
            </w:r>
          </w:p>
        </w:tc>
        <w:tc>
          <w:tcPr>
            <w:tcW w:type="dxa" w:w="3600"/>
            <w:shd w:fill="F2F6FA" w:val="clear"/>
          </w:tcPr>
          <w:p>
            <w:r>
              <w:rPr>
                <w:rFonts w:ascii="Calibri" w:hAnsi="Calibri"/>
                <w:color w:val="333333"/>
                <w:sz w:val="18"/>
              </w:rPr>
              <w:t>Questionnaire, SOC2 review</w:t>
            </w:r>
          </w:p>
        </w:tc>
        <w:tc>
          <w:tcPr>
            <w:tcW w:type="dxa" w:w="1440"/>
            <w:shd w:fill="F2F6FA" w:val="clear"/>
          </w:tcPr>
          <w:p>
            <w:r>
              <w:rPr>
                <w:rFonts w:ascii="Calibri" w:hAnsi="Calibri"/>
                <w:color w:val="333333"/>
                <w:sz w:val="18"/>
              </w:rPr>
              <w:t>Annual</w:t>
            </w:r>
          </w:p>
        </w:tc>
      </w:tr>
      <w:tr>
        <w:tc>
          <w:tcPr>
            <w:tcW w:type="dxa" w:w="1440"/>
          </w:tcPr>
          <w:p>
            <w:r>
              <w:rPr>
                <w:rFonts w:ascii="Calibri" w:hAnsi="Calibri"/>
                <w:color w:val="333333"/>
                <w:sz w:val="18"/>
              </w:rPr>
              <w:t>Medium</w:t>
            </w:r>
          </w:p>
        </w:tc>
        <w:tc>
          <w:tcPr>
            <w:tcW w:type="dxa" w:w="3600"/>
          </w:tcPr>
          <w:p>
            <w:r>
              <w:rPr>
                <w:rFonts w:ascii="Calibri" w:hAnsi="Calibri"/>
                <w:color w:val="333333"/>
                <w:sz w:val="18"/>
              </w:rPr>
              <w:t>Limited system access</w:t>
            </w:r>
          </w:p>
        </w:tc>
        <w:tc>
          <w:tcPr>
            <w:tcW w:type="dxa" w:w="3600"/>
          </w:tcPr>
          <w:p>
            <w:r>
              <w:rPr>
                <w:rFonts w:ascii="Calibri" w:hAnsi="Calibri"/>
                <w:color w:val="333333"/>
                <w:sz w:val="18"/>
              </w:rPr>
              <w:t>Questionnaire</w:t>
            </w:r>
          </w:p>
        </w:tc>
        <w:tc>
          <w:tcPr>
            <w:tcW w:type="dxa" w:w="1440"/>
          </w:tcPr>
          <w:p>
            <w:r>
              <w:rPr>
                <w:rFonts w:ascii="Calibri" w:hAnsi="Calibri"/>
                <w:color w:val="333333"/>
                <w:sz w:val="18"/>
              </w:rPr>
              <w:t>Biennial</w:t>
            </w:r>
          </w:p>
        </w:tc>
      </w:tr>
      <w:tr>
        <w:tc>
          <w:tcPr>
            <w:tcW w:type="dxa" w:w="1440"/>
            <w:shd w:fill="F2F6FA" w:val="clear"/>
          </w:tcPr>
          <w:p>
            <w:r>
              <w:rPr>
                <w:rFonts w:ascii="Calibri" w:hAnsi="Calibri"/>
                <w:color w:val="333333"/>
                <w:sz w:val="18"/>
              </w:rPr>
              <w:t>Low</w:t>
            </w:r>
          </w:p>
        </w:tc>
        <w:tc>
          <w:tcPr>
            <w:tcW w:type="dxa" w:w="3600"/>
            <w:shd w:fill="F2F6FA" w:val="clear"/>
          </w:tcPr>
          <w:p>
            <w:r>
              <w:rPr>
                <w:rFonts w:ascii="Calibri" w:hAnsi="Calibri"/>
                <w:color w:val="333333"/>
                <w:sz w:val="18"/>
              </w:rPr>
              <w:t>No data or system access</w:t>
            </w:r>
          </w:p>
        </w:tc>
        <w:tc>
          <w:tcPr>
            <w:tcW w:type="dxa" w:w="3600"/>
            <w:shd w:fill="F2F6FA" w:val="clear"/>
          </w:tcPr>
          <w:p>
            <w:r>
              <w:rPr>
                <w:rFonts w:ascii="Calibri" w:hAnsi="Calibri"/>
                <w:color w:val="333333"/>
                <w:sz w:val="18"/>
              </w:rPr>
              <w:t>Basic screening</w:t>
            </w:r>
          </w:p>
        </w:tc>
        <w:tc>
          <w:tcPr>
            <w:tcW w:type="dxa" w:w="1440"/>
            <w:shd w:fill="F2F6FA" w:val="clear"/>
          </w:tcPr>
          <w:p>
            <w:r>
              <w:rPr>
                <w:rFonts w:ascii="Calibri" w:hAnsi="Calibri"/>
                <w:color w:val="333333"/>
                <w:sz w:val="18"/>
              </w:rPr>
              <w:t>Upon renewal</w:t>
            </w:r>
          </w:p>
        </w:tc>
      </w:tr>
    </w:tbl>
    <w:p/>
    <w:p>
      <w:pPr>
        <w:pStyle w:val="Heading1"/>
      </w:pPr>
      <w:r>
        <w:t>5. Contractual Security Requirements - Implementation Detail 5</w:t>
      </w:r>
    </w:p>
    <w:p>
      <w:pPr/>
      <w:r>
        <w:t>All vendor contracts must include robust security clauses negotiated by the Legal and Procurement teams.</w:t>
      </w:r>
    </w:p>
    <w:p>
      <w:pPr/>
      <w:r>
        <w:t>All vendor contracts must include robust security clauses negotiated by the Legal and Procurement teams.</w:t>
      </w:r>
    </w:p>
    <w:p>
      <w:pPr/>
      <w:r>
        <w:t>All vendor contracts must include robust security clauses negotiated by the Legal and Procurement teams.</w:t>
      </w:r>
    </w:p>
    <w:p>
      <w:pPr/>
      <w:r>
        <w:t>All vendor contracts must include robust security clauses negotiated by the Legal and Procurement teams.</w:t>
      </w:r>
    </w:p>
    <w:p>
      <w:pPr>
        <w:pStyle w:val="ListBullet"/>
      </w:pPr>
      <w:r>
        <w:t>Data Processing Agreements (DPAs) for PII.</w:t>
      </w:r>
    </w:p>
    <w:p>
      <w:pPr>
        <w:pStyle w:val="ListBullet"/>
      </w:pPr>
      <w:r>
        <w:t>Security SLAs and uptime guarantees.</w:t>
      </w:r>
    </w:p>
    <w:p>
      <w:pPr>
        <w:pStyle w:val="ListBullet"/>
      </w:pPr>
      <w:r>
        <w:t>Mandatory breach notification to Vistara within 24 hours of discovery.</w:t>
      </w:r>
    </w:p>
    <w:p>
      <w:pPr>
        <w:pStyle w:val="ListBullet"/>
      </w:pPr>
      <w:r>
        <w:t>Right to Audit clause for Critical vendors.</w:t>
      </w:r>
    </w:p>
    <w:p>
      <w:pPr>
        <w:pStyle w:val="ListBullet"/>
      </w:pPr>
      <w:r>
        <w:t>Data return or certified destruction upon contract termination.</w:t>
      </w:r>
    </w:p>
    <w:p>
      <w:pPr>
        <w:pStyle w:val="Heading1"/>
      </w:pPr>
      <w:r>
        <w:t>6. Vendor Access Management - Implementation Detail 6</w:t>
      </w:r>
    </w:p>
    <w:p>
      <w:pPr/>
      <w:r>
        <w:t>Third-party logical access is strictly controlled and follows the Principle of Least Privilege.</w:t>
      </w:r>
    </w:p>
    <w:p>
      <w:pPr/>
      <w:r>
        <w:t>Third-party logical access is strictly controlled and follows the Principle of Least Privilege.</w:t>
      </w:r>
    </w:p>
    <w:p>
      <w:pPr/>
      <w:r>
        <w:t>Third-party logical access is strictly controlled and follows the Principle of Least Privilege.</w:t>
      </w:r>
    </w:p>
    <w:p>
      <w:pPr/>
      <w:r>
        <w:t>Third-party logical access is strictly controlled and follows the Principle of Least Privilege.</w:t>
      </w:r>
    </w:p>
    <w:p>
      <w:pPr>
        <w:pStyle w:val="ListBullet"/>
      </w:pPr>
      <w:r>
        <w:t>Dedicated, non-shared accounts.</w:t>
      </w:r>
    </w:p>
    <w:p>
      <w:pPr>
        <w:pStyle w:val="ListBullet"/>
      </w:pPr>
      <w:r>
        <w:t>Mandatory MFA and VPN access only.</w:t>
      </w:r>
    </w:p>
    <w:p>
      <w:pPr>
        <w:pStyle w:val="ListBullet"/>
      </w:pPr>
      <w:r>
        <w:t>Time-limited access (auto-expiring).</w:t>
      </w:r>
    </w:p>
    <w:p>
      <w:pPr>
        <w:pStyle w:val="ListBullet"/>
      </w:pPr>
      <w:r>
        <w:t>Quarterly access reviews by the Vendor Sponsor.</w:t>
      </w:r>
    </w:p>
    <w:p>
      <w:pPr>
        <w:pStyle w:val="ListBullet"/>
      </w:pPr>
      <w:r>
        <w:t>No standing privileged access; Just-in-Time (JIT) provisioning required.</w:t>
      </w:r>
    </w:p>
    <w:p>
      <w:pPr>
        <w:pStyle w:val="Heading1"/>
      </w:pPr>
      <w:r>
        <w:t>7. Cloud Vendor and SaaS Security - Implementation Detail 7</w:t>
      </w:r>
    </w:p>
    <w:p>
      <w:pPr/>
      <w:r>
        <w:t>Cloud service providers (AWS, Azure, GCP) and SaaS vendors require additional scrutiny.</w:t>
      </w:r>
    </w:p>
    <w:p>
      <w:pPr/>
      <w:r>
        <w:t>Cloud service providers (AWS, Azure, GCP) and SaaS vendors require additional scrutiny.</w:t>
      </w:r>
    </w:p>
    <w:p>
      <w:pPr/>
      <w:r>
        <w:t>Cloud service providers (AWS, Azure, GCP) and SaaS vendors require additional scrutiny.</w:t>
      </w:r>
    </w:p>
    <w:p>
      <w:pPr/>
      <w:r>
        <w:t>Cloud service providers (AWS, Azure, GCP) and SaaS vendors require additional scrutiny.</w:t>
      </w:r>
    </w:p>
    <w:p>
      <w:pPr>
        <w:pStyle w:val="ListBullet"/>
      </w:pPr>
      <w:r>
        <w:t>Data residency requirements (India localization per DPDP Act if applicable).</w:t>
      </w:r>
    </w:p>
    <w:p>
      <w:pPr>
        <w:pStyle w:val="ListBullet"/>
      </w:pPr>
      <w:r>
        <w:t>Encryption at rest and in transit.</w:t>
      </w:r>
    </w:p>
    <w:p>
      <w:pPr>
        <w:pStyle w:val="ListBullet"/>
      </w:pPr>
      <w:r>
        <w:t>SOC 2 Type II attestation mandatory.</w:t>
      </w:r>
    </w:p>
    <w:p>
      <w:pPr>
        <w:pStyle w:val="ListBullet"/>
      </w:pPr>
      <w:r>
        <w:t>SSO integration with Vistara's Identity Provider (SAML/OIDC).</w:t>
      </w:r>
    </w:p>
    <w:p>
      <w:pPr>
        <w:pStyle w:val="Heading1"/>
      </w:pPr>
      <w:r>
        <w:t>8. Third-Party Risk Assessment Framework - Implementation Detail 8</w:t>
      </w:r>
    </w:p>
    <w:p>
      <w:pPr/>
      <w:r>
        <w:t>The primary objective of the Third-Party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Third-Party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Third-Party Security, the more stringent control shall apply. The policy owner is responsible for monitoring regulatory changes and updating these requirements accordingly.</w:t>
      </w:r>
    </w:p>
    <w:p>
      <w:pPr/>
      <w:r>
        <w:t>Exceptions to the Third-Party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Third-Party Security controls will be conducted by the Internal Audit and Information Security teams. Non-compliance may result in disciplinary action up to and including termination of employment or contract.</w:t>
      </w:r>
    </w:p>
    <w:p>
      <w:pPr/>
      <w:r>
        <w:t>Vistara categorizes vendors into four tiers based on risk exposure and data access.</w:t>
      </w:r>
    </w:p>
    <w:p>
      <w:pPr/>
      <w:r>
        <w:t>The primary objective of the Third-Party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Third-Party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Third-Party Security, the more stringent control shall apply. The policy owner is responsible for monitoring regulatory changes and updating these requirements accordingly.</w:t>
      </w:r>
    </w:p>
    <w:p>
      <w:pPr/>
      <w:r>
        <w:t>Exceptions to the Third-Party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Third-Party Security controls will be conducted by the Internal Audit and Information Security teams. Non-compliance may result in disciplinary action up to and including termination of employment or contract.</w:t>
      </w:r>
    </w:p>
    <w:p>
      <w:pPr/>
      <w:r>
        <w:t>Vistara categorizes vendors into four tiers based on risk exposure and data access.</w:t>
      </w:r>
    </w:p>
    <w:p>
      <w:pPr/>
      <w:r>
        <w:t>The primary objective of the Third-Party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Third-Party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Third-Party Security, the more stringent control shall apply. The policy owner is responsible for monitoring regulatory changes and updating these requirements accordingly.</w:t>
      </w:r>
    </w:p>
    <w:p>
      <w:pPr/>
      <w:r>
        <w:t>Exceptions to the Third-Party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Third-Party Security controls will be conducted by the Internal Audit and Information Security teams. Non-compliance may result in disciplinary action up to and including termination of employment or contract.</w:t>
      </w:r>
    </w:p>
    <w:p>
      <w:pPr/>
      <w:r>
        <w:t>Vistara categorizes vendors into four tiers based on risk exposure and data access.</w:t>
      </w:r>
    </w:p>
    <w:p>
      <w:pPr/>
      <w:r>
        <w:t>The primary objective of the Third-Party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Third-Party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Third-Party Security, the more stringent control shall apply. The policy owner is responsible for monitoring regulatory changes and updating these requirements accordingly.</w:t>
      </w:r>
    </w:p>
    <w:p>
      <w:pPr/>
      <w:r>
        <w:t>Exceptions to the Third-Party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Third-Party Security controls will be conducted by the Internal Audit and Information Security teams. Non-compliance may result in disciplinary action up to and including termination of employment or contract.</w:t>
      </w:r>
    </w:p>
    <w:p>
      <w:pPr/>
      <w:r>
        <w:t>Vistara categorizes vendors into four tiers based on risk exposure and data access.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40"/>
            <w:shd w:fill="1B3A5C" w:val="clear"/>
          </w:tcPr>
          <w:p>
            <w:pPr>
              <w:jc w:val="center"/>
            </w:pPr>
            <w:r>
              <w:rPr>
                <w:rFonts w:ascii="Calibri" w:hAnsi="Calibri"/>
                <w:b/>
                <w:color w:val="FFFFFF"/>
                <w:sz w:val="20"/>
              </w:rPr>
              <w:t>Tier</w:t>
            </w:r>
          </w:p>
        </w:tc>
        <w:tc>
          <w:tcPr>
            <w:tcW w:type="dxa" w:w="3600"/>
            <w:shd w:fill="1B3A5C" w:val="clear"/>
          </w:tcPr>
          <w:p>
            <w:pPr>
              <w:jc w:val="center"/>
            </w:pPr>
            <w:r>
              <w:rPr>
                <w:rFonts w:ascii="Calibri" w:hAnsi="Calibri"/>
                <w:b/>
                <w:color w:val="FFFFFF"/>
                <w:sz w:val="20"/>
              </w:rPr>
              <w:t>Definition</w:t>
            </w:r>
          </w:p>
        </w:tc>
        <w:tc>
          <w:tcPr>
            <w:tcW w:type="dxa" w:w="3600"/>
            <w:shd w:fill="1B3A5C" w:val="clear"/>
          </w:tcPr>
          <w:p>
            <w:pPr>
              <w:jc w:val="center"/>
            </w:pPr>
            <w:r>
              <w:rPr>
                <w:rFonts w:ascii="Calibri" w:hAnsi="Calibri"/>
                <w:b/>
                <w:color w:val="FFFFFF"/>
                <w:sz w:val="20"/>
              </w:rPr>
              <w:t>Assessment Required</w:t>
            </w:r>
          </w:p>
        </w:tc>
        <w:tc>
          <w:tcPr>
            <w:tcW w:type="dxa" w:w="1440"/>
            <w:shd w:fill="1B3A5C" w:val="clear"/>
          </w:tcPr>
          <w:p>
            <w:pPr>
              <w:jc w:val="center"/>
            </w:pPr>
            <w:r>
              <w:rPr>
                <w:rFonts w:ascii="Calibri" w:hAnsi="Calibri"/>
                <w:b/>
                <w:color w:val="FFFFFF"/>
                <w:sz w:val="20"/>
              </w:rPr>
              <w:t>Frequency</w:t>
            </w:r>
          </w:p>
        </w:tc>
      </w:tr>
      <w:tr>
        <w:tc>
          <w:tcPr>
            <w:tcW w:type="dxa" w:w="1440"/>
          </w:tcPr>
          <w:p>
            <w:r>
              <w:rPr>
                <w:rFonts w:ascii="Calibri" w:hAnsi="Calibri"/>
                <w:color w:val="333333"/>
                <w:sz w:val="18"/>
              </w:rPr>
              <w:t>Critical</w:t>
            </w:r>
          </w:p>
        </w:tc>
        <w:tc>
          <w:tcPr>
            <w:tcW w:type="dxa" w:w="3600"/>
          </w:tcPr>
          <w:p>
            <w:r>
              <w:rPr>
                <w:rFonts w:ascii="Calibri" w:hAnsi="Calibri"/>
                <w:color w:val="333333"/>
                <w:sz w:val="18"/>
              </w:rPr>
              <w:t>Access to customer data, core system access</w:t>
            </w:r>
          </w:p>
        </w:tc>
        <w:tc>
          <w:tcPr>
            <w:tcW w:type="dxa" w:w="3600"/>
          </w:tcPr>
          <w:p>
            <w:r>
              <w:rPr>
                <w:rFonts w:ascii="Calibri" w:hAnsi="Calibri"/>
                <w:color w:val="333333"/>
                <w:sz w:val="18"/>
              </w:rPr>
              <w:t>Questionnaire, SOC2/ISO review, Pentest, Right to Audit</w:t>
            </w:r>
          </w:p>
        </w:tc>
        <w:tc>
          <w:tcPr>
            <w:tcW w:type="dxa" w:w="1440"/>
          </w:tcPr>
          <w:p>
            <w:r>
              <w:rPr>
                <w:rFonts w:ascii="Calibri" w:hAnsi="Calibri"/>
                <w:color w:val="333333"/>
                <w:sz w:val="18"/>
              </w:rPr>
              <w:t>Continuous / Annual</w:t>
            </w:r>
          </w:p>
        </w:tc>
      </w:tr>
      <w:tr>
        <w:tc>
          <w:tcPr>
            <w:tcW w:type="dxa" w:w="1440"/>
            <w:shd w:fill="F2F6FA" w:val="clear"/>
          </w:tcPr>
          <w:p>
            <w:r>
              <w:rPr>
                <w:rFonts w:ascii="Calibri" w:hAnsi="Calibri"/>
                <w:color w:val="333333"/>
                <w:sz w:val="18"/>
              </w:rPr>
              <w:t>High</w:t>
            </w:r>
          </w:p>
        </w:tc>
        <w:tc>
          <w:tcPr>
            <w:tcW w:type="dxa" w:w="3600"/>
            <w:shd w:fill="F2F6FA" w:val="clear"/>
          </w:tcPr>
          <w:p>
            <w:r>
              <w:rPr>
                <w:rFonts w:ascii="Calibri" w:hAnsi="Calibri"/>
                <w:color w:val="333333"/>
                <w:sz w:val="18"/>
              </w:rPr>
              <w:t>Internal data access</w:t>
            </w:r>
          </w:p>
        </w:tc>
        <w:tc>
          <w:tcPr>
            <w:tcW w:type="dxa" w:w="3600"/>
            <w:shd w:fill="F2F6FA" w:val="clear"/>
          </w:tcPr>
          <w:p>
            <w:r>
              <w:rPr>
                <w:rFonts w:ascii="Calibri" w:hAnsi="Calibri"/>
                <w:color w:val="333333"/>
                <w:sz w:val="18"/>
              </w:rPr>
              <w:t>Questionnaire, SOC2 review</w:t>
            </w:r>
          </w:p>
        </w:tc>
        <w:tc>
          <w:tcPr>
            <w:tcW w:type="dxa" w:w="1440"/>
            <w:shd w:fill="F2F6FA" w:val="clear"/>
          </w:tcPr>
          <w:p>
            <w:r>
              <w:rPr>
                <w:rFonts w:ascii="Calibri" w:hAnsi="Calibri"/>
                <w:color w:val="333333"/>
                <w:sz w:val="18"/>
              </w:rPr>
              <w:t>Annual</w:t>
            </w:r>
          </w:p>
        </w:tc>
      </w:tr>
      <w:tr>
        <w:tc>
          <w:tcPr>
            <w:tcW w:type="dxa" w:w="1440"/>
          </w:tcPr>
          <w:p>
            <w:r>
              <w:rPr>
                <w:rFonts w:ascii="Calibri" w:hAnsi="Calibri"/>
                <w:color w:val="333333"/>
                <w:sz w:val="18"/>
              </w:rPr>
              <w:t>Medium</w:t>
            </w:r>
          </w:p>
        </w:tc>
        <w:tc>
          <w:tcPr>
            <w:tcW w:type="dxa" w:w="3600"/>
          </w:tcPr>
          <w:p>
            <w:r>
              <w:rPr>
                <w:rFonts w:ascii="Calibri" w:hAnsi="Calibri"/>
                <w:color w:val="333333"/>
                <w:sz w:val="18"/>
              </w:rPr>
              <w:t>Limited system access</w:t>
            </w:r>
          </w:p>
        </w:tc>
        <w:tc>
          <w:tcPr>
            <w:tcW w:type="dxa" w:w="3600"/>
          </w:tcPr>
          <w:p>
            <w:r>
              <w:rPr>
                <w:rFonts w:ascii="Calibri" w:hAnsi="Calibri"/>
                <w:color w:val="333333"/>
                <w:sz w:val="18"/>
              </w:rPr>
              <w:t>Questionnaire</w:t>
            </w:r>
          </w:p>
        </w:tc>
        <w:tc>
          <w:tcPr>
            <w:tcW w:type="dxa" w:w="1440"/>
          </w:tcPr>
          <w:p>
            <w:r>
              <w:rPr>
                <w:rFonts w:ascii="Calibri" w:hAnsi="Calibri"/>
                <w:color w:val="333333"/>
                <w:sz w:val="18"/>
              </w:rPr>
              <w:t>Biennial</w:t>
            </w:r>
          </w:p>
        </w:tc>
      </w:tr>
      <w:tr>
        <w:tc>
          <w:tcPr>
            <w:tcW w:type="dxa" w:w="1440"/>
            <w:shd w:fill="F2F6FA" w:val="clear"/>
          </w:tcPr>
          <w:p>
            <w:r>
              <w:rPr>
                <w:rFonts w:ascii="Calibri" w:hAnsi="Calibri"/>
                <w:color w:val="333333"/>
                <w:sz w:val="18"/>
              </w:rPr>
              <w:t>Low</w:t>
            </w:r>
          </w:p>
        </w:tc>
        <w:tc>
          <w:tcPr>
            <w:tcW w:type="dxa" w:w="3600"/>
            <w:shd w:fill="F2F6FA" w:val="clear"/>
          </w:tcPr>
          <w:p>
            <w:r>
              <w:rPr>
                <w:rFonts w:ascii="Calibri" w:hAnsi="Calibri"/>
                <w:color w:val="333333"/>
                <w:sz w:val="18"/>
              </w:rPr>
              <w:t>No data or system access</w:t>
            </w:r>
          </w:p>
        </w:tc>
        <w:tc>
          <w:tcPr>
            <w:tcW w:type="dxa" w:w="3600"/>
            <w:shd w:fill="F2F6FA" w:val="clear"/>
          </w:tcPr>
          <w:p>
            <w:r>
              <w:rPr>
                <w:rFonts w:ascii="Calibri" w:hAnsi="Calibri"/>
                <w:color w:val="333333"/>
                <w:sz w:val="18"/>
              </w:rPr>
              <w:t>Basic screening</w:t>
            </w:r>
          </w:p>
        </w:tc>
        <w:tc>
          <w:tcPr>
            <w:tcW w:type="dxa" w:w="1440"/>
            <w:shd w:fill="F2F6FA" w:val="clear"/>
          </w:tcPr>
          <w:p>
            <w:r>
              <w:rPr>
                <w:rFonts w:ascii="Calibri" w:hAnsi="Calibri"/>
                <w:color w:val="333333"/>
                <w:sz w:val="18"/>
              </w:rPr>
              <w:t>Upon renewal</w:t>
            </w:r>
          </w:p>
        </w:tc>
      </w:tr>
    </w:tbl>
    <w:p/>
    <w:p>
      <w:pPr>
        <w:pStyle w:val="Heading1"/>
      </w:pPr>
      <w:r>
        <w:t>9. Contractual Security Requirements - Implementation Detail 9</w:t>
      </w:r>
    </w:p>
    <w:p>
      <w:pPr/>
      <w:r>
        <w:t>All vendor contracts must include robust security clauses negotiated by the Legal and Procurement teams.</w:t>
      </w:r>
    </w:p>
    <w:p>
      <w:pPr/>
      <w:r>
        <w:t>All vendor contracts must include robust security clauses negotiated by the Legal and Procurement teams.</w:t>
      </w:r>
    </w:p>
    <w:p>
      <w:pPr/>
      <w:r>
        <w:t>All vendor contracts must include robust security clauses negotiated by the Legal and Procurement teams.</w:t>
      </w:r>
    </w:p>
    <w:p>
      <w:pPr/>
      <w:r>
        <w:t>All vendor contracts must include robust security clauses negotiated by the Legal and Procurement teams.</w:t>
      </w:r>
    </w:p>
    <w:p>
      <w:pPr>
        <w:pStyle w:val="ListBullet"/>
      </w:pPr>
      <w:r>
        <w:t>Data Processing Agreements (DPAs) for PII.</w:t>
      </w:r>
    </w:p>
    <w:p>
      <w:pPr>
        <w:pStyle w:val="ListBullet"/>
      </w:pPr>
      <w:r>
        <w:t>Security SLAs and uptime guarantees.</w:t>
      </w:r>
    </w:p>
    <w:p>
      <w:pPr>
        <w:pStyle w:val="ListBullet"/>
      </w:pPr>
      <w:r>
        <w:t>Mandatory breach notification to Vistara within 24 hours of discovery.</w:t>
      </w:r>
    </w:p>
    <w:p>
      <w:pPr>
        <w:pStyle w:val="ListBullet"/>
      </w:pPr>
      <w:r>
        <w:t>Right to Audit clause for Critical vendors.</w:t>
      </w:r>
    </w:p>
    <w:p>
      <w:pPr>
        <w:pStyle w:val="ListBullet"/>
      </w:pPr>
      <w:r>
        <w:t>Data return or certified destruction upon contract termination.</w:t>
      </w:r>
    </w:p>
    <w:p>
      <w:pPr>
        <w:pStyle w:val="Heading1"/>
      </w:pPr>
      <w:r>
        <w:t>10. Vendor Access Management - Implementation Detail 10</w:t>
      </w:r>
    </w:p>
    <w:p>
      <w:pPr/>
      <w:r>
        <w:t>Third-party logical access is strictly controlled and follows the Principle of Least Privilege.</w:t>
      </w:r>
    </w:p>
    <w:p>
      <w:pPr/>
      <w:r>
        <w:t>Third-party logical access is strictly controlled and follows the Principle of Least Privilege.</w:t>
      </w:r>
    </w:p>
    <w:p>
      <w:pPr/>
      <w:r>
        <w:t>Third-party logical access is strictly controlled and follows the Principle of Least Privilege.</w:t>
      </w:r>
    </w:p>
    <w:p>
      <w:pPr/>
      <w:r>
        <w:t>Third-party logical access is strictly controlled and follows the Principle of Least Privilege.</w:t>
      </w:r>
    </w:p>
    <w:p>
      <w:pPr>
        <w:pStyle w:val="ListBullet"/>
      </w:pPr>
      <w:r>
        <w:t>Dedicated, non-shared accounts.</w:t>
      </w:r>
    </w:p>
    <w:p>
      <w:pPr>
        <w:pStyle w:val="ListBullet"/>
      </w:pPr>
      <w:r>
        <w:t>Mandatory MFA and VPN access only.</w:t>
      </w:r>
    </w:p>
    <w:p>
      <w:pPr>
        <w:pStyle w:val="ListBullet"/>
      </w:pPr>
      <w:r>
        <w:t>Time-limited access (auto-expiring).</w:t>
      </w:r>
    </w:p>
    <w:p>
      <w:pPr>
        <w:pStyle w:val="ListBullet"/>
      </w:pPr>
      <w:r>
        <w:t>Quarterly access reviews by the Vendor Sponsor.</w:t>
      </w:r>
    </w:p>
    <w:p>
      <w:pPr>
        <w:pStyle w:val="ListBullet"/>
      </w:pPr>
      <w:r>
        <w:t>No standing privileged access; Just-in-Time (JIT) provisioning required.</w:t>
      </w:r>
    </w:p>
    <w:p>
      <w:pPr>
        <w:pStyle w:val="Heading1"/>
      </w:pPr>
      <w:r>
        <w:t>11. Cloud Vendor and SaaS Security - Implementation Detail 11</w:t>
      </w:r>
    </w:p>
    <w:p>
      <w:pPr/>
      <w:r>
        <w:t>Cloud service providers (AWS, Azure, GCP) and SaaS vendors require additional scrutiny.</w:t>
      </w:r>
    </w:p>
    <w:p>
      <w:pPr/>
      <w:r>
        <w:t>Cloud service providers (AWS, Azure, GCP) and SaaS vendors require additional scrutiny.</w:t>
      </w:r>
    </w:p>
    <w:p>
      <w:pPr/>
      <w:r>
        <w:t>Cloud service providers (AWS, Azure, GCP) and SaaS vendors require additional scrutiny.</w:t>
      </w:r>
    </w:p>
    <w:p>
      <w:pPr/>
      <w:r>
        <w:t>Cloud service providers (AWS, Azure, GCP) and SaaS vendors require additional scrutiny.</w:t>
      </w:r>
    </w:p>
    <w:p>
      <w:pPr>
        <w:pStyle w:val="ListBullet"/>
      </w:pPr>
      <w:r>
        <w:t>Data residency requirements (India localization per DPDP Act if applicable).</w:t>
      </w:r>
    </w:p>
    <w:p>
      <w:pPr>
        <w:pStyle w:val="ListBullet"/>
      </w:pPr>
      <w:r>
        <w:t>Encryption at rest and in transit.</w:t>
      </w:r>
    </w:p>
    <w:p>
      <w:pPr>
        <w:pStyle w:val="ListBullet"/>
      </w:pPr>
      <w:r>
        <w:t>SOC 2 Type II attestation mandatory.</w:t>
      </w:r>
    </w:p>
    <w:p>
      <w:pPr>
        <w:pStyle w:val="ListBullet"/>
      </w:pPr>
      <w:r>
        <w:t>SSO integration with Vistara's Identity Provider (SAML/OIDC).</w:t>
      </w:r>
    </w:p>
    <w:p>
      <w:pPr>
        <w:pStyle w:val="Heading1"/>
      </w:pPr>
      <w:r>
        <w:t>12. Third-Party Risk Assessment Framework - Implementation Detail 12</w:t>
      </w:r>
    </w:p>
    <w:p>
      <w:pPr/>
      <w:r>
        <w:t>The primary objective of the Third-Party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Third-Party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Third-Party Security, the more stringent control shall apply. The policy owner is responsible for monitoring regulatory changes and updating these requirements accordingly.</w:t>
      </w:r>
    </w:p>
    <w:p>
      <w:pPr/>
      <w:r>
        <w:t>Exceptions to the Third-Party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Third-Party Security controls will be conducted by the Internal Audit and Information Security teams. Non-compliance may result in disciplinary action up to and including termination of employment or contract.</w:t>
      </w:r>
    </w:p>
    <w:p>
      <w:pPr/>
      <w:r>
        <w:t>Vistara categorizes vendors into four tiers based on risk exposure and data access.</w:t>
      </w:r>
    </w:p>
    <w:p>
      <w:pPr/>
      <w:r>
        <w:t>The primary objective of the Third-Party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Third-Party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Third-Party Security, the more stringent control shall apply. The policy owner is responsible for monitoring regulatory changes and updating these requirements accordingly.</w:t>
      </w:r>
    </w:p>
    <w:p>
      <w:pPr/>
      <w:r>
        <w:t>Exceptions to the Third-Party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Third-Party Security controls will be conducted by the Internal Audit and Information Security teams. Non-compliance may result in disciplinary action up to and including termination of employment or contract.</w:t>
      </w:r>
    </w:p>
    <w:p>
      <w:pPr/>
      <w:r>
        <w:t>Vistara categorizes vendors into four tiers based on risk exposure and data access.</w:t>
      </w:r>
    </w:p>
    <w:p>
      <w:pPr/>
      <w:r>
        <w:t>The primary objective of the Third-Party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Third-Party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Third-Party Security, the more stringent control shall apply. The policy owner is responsible for monitoring regulatory changes and updating these requirements accordingly.</w:t>
      </w:r>
    </w:p>
    <w:p>
      <w:pPr/>
      <w:r>
        <w:t>Exceptions to the Third-Party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Third-Party Security controls will be conducted by the Internal Audit and Information Security teams. Non-compliance may result in disciplinary action up to and including termination of employment or contract.</w:t>
      </w:r>
    </w:p>
    <w:p>
      <w:pPr/>
      <w:r>
        <w:t>Vistara categorizes vendors into four tiers based on risk exposure and data access.</w:t>
      </w:r>
    </w:p>
    <w:p>
      <w:pPr/>
      <w:r>
        <w:t>The primary objective of the Third-Party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Third-Party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Third-Party Security, the more stringent control shall apply. The policy owner is responsible for monitoring regulatory changes and updating these requirements accordingly.</w:t>
      </w:r>
    </w:p>
    <w:p>
      <w:pPr/>
      <w:r>
        <w:t>Exceptions to the Third-Party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Third-Party Security controls will be conducted by the Internal Audit and Information Security teams. Non-compliance may result in disciplinary action up to and including termination of employment or contract.</w:t>
      </w:r>
    </w:p>
    <w:p>
      <w:pPr/>
      <w:r>
        <w:t>Vistara categorizes vendors into four tiers based on risk exposure and data access.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40"/>
            <w:shd w:fill="1B3A5C" w:val="clear"/>
          </w:tcPr>
          <w:p>
            <w:pPr>
              <w:jc w:val="center"/>
            </w:pPr>
            <w:r>
              <w:rPr>
                <w:rFonts w:ascii="Calibri" w:hAnsi="Calibri"/>
                <w:b/>
                <w:color w:val="FFFFFF"/>
                <w:sz w:val="20"/>
              </w:rPr>
              <w:t>Tier</w:t>
            </w:r>
          </w:p>
        </w:tc>
        <w:tc>
          <w:tcPr>
            <w:tcW w:type="dxa" w:w="3600"/>
            <w:shd w:fill="1B3A5C" w:val="clear"/>
          </w:tcPr>
          <w:p>
            <w:pPr>
              <w:jc w:val="center"/>
            </w:pPr>
            <w:r>
              <w:rPr>
                <w:rFonts w:ascii="Calibri" w:hAnsi="Calibri"/>
                <w:b/>
                <w:color w:val="FFFFFF"/>
                <w:sz w:val="20"/>
              </w:rPr>
              <w:t>Definition</w:t>
            </w:r>
          </w:p>
        </w:tc>
        <w:tc>
          <w:tcPr>
            <w:tcW w:type="dxa" w:w="3600"/>
            <w:shd w:fill="1B3A5C" w:val="clear"/>
          </w:tcPr>
          <w:p>
            <w:pPr>
              <w:jc w:val="center"/>
            </w:pPr>
            <w:r>
              <w:rPr>
                <w:rFonts w:ascii="Calibri" w:hAnsi="Calibri"/>
                <w:b/>
                <w:color w:val="FFFFFF"/>
                <w:sz w:val="20"/>
              </w:rPr>
              <w:t>Assessment Required</w:t>
            </w:r>
          </w:p>
        </w:tc>
        <w:tc>
          <w:tcPr>
            <w:tcW w:type="dxa" w:w="1440"/>
            <w:shd w:fill="1B3A5C" w:val="clear"/>
          </w:tcPr>
          <w:p>
            <w:pPr>
              <w:jc w:val="center"/>
            </w:pPr>
            <w:r>
              <w:rPr>
                <w:rFonts w:ascii="Calibri" w:hAnsi="Calibri"/>
                <w:b/>
                <w:color w:val="FFFFFF"/>
                <w:sz w:val="20"/>
              </w:rPr>
              <w:t>Frequency</w:t>
            </w:r>
          </w:p>
        </w:tc>
      </w:tr>
      <w:tr>
        <w:tc>
          <w:tcPr>
            <w:tcW w:type="dxa" w:w="1440"/>
          </w:tcPr>
          <w:p>
            <w:r>
              <w:rPr>
                <w:rFonts w:ascii="Calibri" w:hAnsi="Calibri"/>
                <w:color w:val="333333"/>
                <w:sz w:val="18"/>
              </w:rPr>
              <w:t>Critical</w:t>
            </w:r>
          </w:p>
        </w:tc>
        <w:tc>
          <w:tcPr>
            <w:tcW w:type="dxa" w:w="3600"/>
          </w:tcPr>
          <w:p>
            <w:r>
              <w:rPr>
                <w:rFonts w:ascii="Calibri" w:hAnsi="Calibri"/>
                <w:color w:val="333333"/>
                <w:sz w:val="18"/>
              </w:rPr>
              <w:t>Access to customer data, core system access</w:t>
            </w:r>
          </w:p>
        </w:tc>
        <w:tc>
          <w:tcPr>
            <w:tcW w:type="dxa" w:w="3600"/>
          </w:tcPr>
          <w:p>
            <w:r>
              <w:rPr>
                <w:rFonts w:ascii="Calibri" w:hAnsi="Calibri"/>
                <w:color w:val="333333"/>
                <w:sz w:val="18"/>
              </w:rPr>
              <w:t>Questionnaire, SOC2/ISO review, Pentest, Right to Audit</w:t>
            </w:r>
          </w:p>
        </w:tc>
        <w:tc>
          <w:tcPr>
            <w:tcW w:type="dxa" w:w="1440"/>
          </w:tcPr>
          <w:p>
            <w:r>
              <w:rPr>
                <w:rFonts w:ascii="Calibri" w:hAnsi="Calibri"/>
                <w:color w:val="333333"/>
                <w:sz w:val="18"/>
              </w:rPr>
              <w:t>Continuous / Annual</w:t>
            </w:r>
          </w:p>
        </w:tc>
      </w:tr>
      <w:tr>
        <w:tc>
          <w:tcPr>
            <w:tcW w:type="dxa" w:w="1440"/>
            <w:shd w:fill="F2F6FA" w:val="clear"/>
          </w:tcPr>
          <w:p>
            <w:r>
              <w:rPr>
                <w:rFonts w:ascii="Calibri" w:hAnsi="Calibri"/>
                <w:color w:val="333333"/>
                <w:sz w:val="18"/>
              </w:rPr>
              <w:t>High</w:t>
            </w:r>
          </w:p>
        </w:tc>
        <w:tc>
          <w:tcPr>
            <w:tcW w:type="dxa" w:w="3600"/>
            <w:shd w:fill="F2F6FA" w:val="clear"/>
          </w:tcPr>
          <w:p>
            <w:r>
              <w:rPr>
                <w:rFonts w:ascii="Calibri" w:hAnsi="Calibri"/>
                <w:color w:val="333333"/>
                <w:sz w:val="18"/>
              </w:rPr>
              <w:t>Internal data access</w:t>
            </w:r>
          </w:p>
        </w:tc>
        <w:tc>
          <w:tcPr>
            <w:tcW w:type="dxa" w:w="3600"/>
            <w:shd w:fill="F2F6FA" w:val="clear"/>
          </w:tcPr>
          <w:p>
            <w:r>
              <w:rPr>
                <w:rFonts w:ascii="Calibri" w:hAnsi="Calibri"/>
                <w:color w:val="333333"/>
                <w:sz w:val="18"/>
              </w:rPr>
              <w:t>Questionnaire, SOC2 review</w:t>
            </w:r>
          </w:p>
        </w:tc>
        <w:tc>
          <w:tcPr>
            <w:tcW w:type="dxa" w:w="1440"/>
            <w:shd w:fill="F2F6FA" w:val="clear"/>
          </w:tcPr>
          <w:p>
            <w:r>
              <w:rPr>
                <w:rFonts w:ascii="Calibri" w:hAnsi="Calibri"/>
                <w:color w:val="333333"/>
                <w:sz w:val="18"/>
              </w:rPr>
              <w:t>Annual</w:t>
            </w:r>
          </w:p>
        </w:tc>
      </w:tr>
      <w:tr>
        <w:tc>
          <w:tcPr>
            <w:tcW w:type="dxa" w:w="1440"/>
          </w:tcPr>
          <w:p>
            <w:r>
              <w:rPr>
                <w:rFonts w:ascii="Calibri" w:hAnsi="Calibri"/>
                <w:color w:val="333333"/>
                <w:sz w:val="18"/>
              </w:rPr>
              <w:t>Medium</w:t>
            </w:r>
          </w:p>
        </w:tc>
        <w:tc>
          <w:tcPr>
            <w:tcW w:type="dxa" w:w="3600"/>
          </w:tcPr>
          <w:p>
            <w:r>
              <w:rPr>
                <w:rFonts w:ascii="Calibri" w:hAnsi="Calibri"/>
                <w:color w:val="333333"/>
                <w:sz w:val="18"/>
              </w:rPr>
              <w:t>Limited system access</w:t>
            </w:r>
          </w:p>
        </w:tc>
        <w:tc>
          <w:tcPr>
            <w:tcW w:type="dxa" w:w="3600"/>
          </w:tcPr>
          <w:p>
            <w:r>
              <w:rPr>
                <w:rFonts w:ascii="Calibri" w:hAnsi="Calibri"/>
                <w:color w:val="333333"/>
                <w:sz w:val="18"/>
              </w:rPr>
              <w:t>Questionnaire</w:t>
            </w:r>
          </w:p>
        </w:tc>
        <w:tc>
          <w:tcPr>
            <w:tcW w:type="dxa" w:w="1440"/>
          </w:tcPr>
          <w:p>
            <w:r>
              <w:rPr>
                <w:rFonts w:ascii="Calibri" w:hAnsi="Calibri"/>
                <w:color w:val="333333"/>
                <w:sz w:val="18"/>
              </w:rPr>
              <w:t>Biennial</w:t>
            </w:r>
          </w:p>
        </w:tc>
      </w:tr>
      <w:tr>
        <w:tc>
          <w:tcPr>
            <w:tcW w:type="dxa" w:w="1440"/>
            <w:shd w:fill="F2F6FA" w:val="clear"/>
          </w:tcPr>
          <w:p>
            <w:r>
              <w:rPr>
                <w:rFonts w:ascii="Calibri" w:hAnsi="Calibri"/>
                <w:color w:val="333333"/>
                <w:sz w:val="18"/>
              </w:rPr>
              <w:t>Low</w:t>
            </w:r>
          </w:p>
        </w:tc>
        <w:tc>
          <w:tcPr>
            <w:tcW w:type="dxa" w:w="3600"/>
            <w:shd w:fill="F2F6FA" w:val="clear"/>
          </w:tcPr>
          <w:p>
            <w:r>
              <w:rPr>
                <w:rFonts w:ascii="Calibri" w:hAnsi="Calibri"/>
                <w:color w:val="333333"/>
                <w:sz w:val="18"/>
              </w:rPr>
              <w:t>No data or system access</w:t>
            </w:r>
          </w:p>
        </w:tc>
        <w:tc>
          <w:tcPr>
            <w:tcW w:type="dxa" w:w="3600"/>
            <w:shd w:fill="F2F6FA" w:val="clear"/>
          </w:tcPr>
          <w:p>
            <w:r>
              <w:rPr>
                <w:rFonts w:ascii="Calibri" w:hAnsi="Calibri"/>
                <w:color w:val="333333"/>
                <w:sz w:val="18"/>
              </w:rPr>
              <w:t>Basic screening</w:t>
            </w:r>
          </w:p>
        </w:tc>
        <w:tc>
          <w:tcPr>
            <w:tcW w:type="dxa" w:w="1440"/>
            <w:shd w:fill="F2F6FA" w:val="clear"/>
          </w:tcPr>
          <w:p>
            <w:r>
              <w:rPr>
                <w:rFonts w:ascii="Calibri" w:hAnsi="Calibri"/>
                <w:color w:val="333333"/>
                <w:sz w:val="18"/>
              </w:rPr>
              <w:t>Upon renewal</w:t>
            </w:r>
          </w:p>
        </w:tc>
      </w:tr>
    </w:tbl>
    <w:p/>
    <w:p>
      <w:pPr>
        <w:pStyle w:val="Heading1"/>
      </w:pPr>
      <w:r>
        <w:t>13. Contractual Security Requirements - Implementation Detail 13</w:t>
      </w:r>
    </w:p>
    <w:p>
      <w:pPr/>
      <w:r>
        <w:t>All vendor contracts must include robust security clauses negotiated by the Legal and Procurement teams.</w:t>
      </w:r>
    </w:p>
    <w:p>
      <w:pPr/>
      <w:r>
        <w:t>All vendor contracts must include robust security clauses negotiated by the Legal and Procurement teams.</w:t>
      </w:r>
    </w:p>
    <w:p>
      <w:pPr/>
      <w:r>
        <w:t>All vendor contracts must include robust security clauses negotiated by the Legal and Procurement teams.</w:t>
      </w:r>
    </w:p>
    <w:p>
      <w:pPr/>
      <w:r>
        <w:t>All vendor contracts must include robust security clauses negotiated by the Legal and Procurement teams.</w:t>
      </w:r>
    </w:p>
    <w:p>
      <w:pPr>
        <w:pStyle w:val="ListBullet"/>
      </w:pPr>
      <w:r>
        <w:t>Data Processing Agreements (DPAs) for PII.</w:t>
      </w:r>
    </w:p>
    <w:p>
      <w:pPr>
        <w:pStyle w:val="ListBullet"/>
      </w:pPr>
      <w:r>
        <w:t>Security SLAs and uptime guarantees.</w:t>
      </w:r>
    </w:p>
    <w:p>
      <w:pPr>
        <w:pStyle w:val="ListBullet"/>
      </w:pPr>
      <w:r>
        <w:t>Mandatory breach notification to Vistara within 24 hours of discovery.</w:t>
      </w:r>
    </w:p>
    <w:p>
      <w:pPr>
        <w:pStyle w:val="ListBullet"/>
      </w:pPr>
      <w:r>
        <w:t>Right to Audit clause for Critical vendors.</w:t>
      </w:r>
    </w:p>
    <w:p>
      <w:pPr>
        <w:pStyle w:val="ListBullet"/>
      </w:pPr>
      <w:r>
        <w:t>Data return or certified destruction upon contract termination.</w:t>
      </w:r>
    </w:p>
    <w:p>
      <w:pPr>
        <w:pStyle w:val="Heading1"/>
      </w:pPr>
      <w:r>
        <w:t>14. Vendor Access Management - Implementation Detail 14</w:t>
      </w:r>
    </w:p>
    <w:p>
      <w:pPr/>
      <w:r>
        <w:t>Third-party logical access is strictly controlled and follows the Principle of Least Privilege.</w:t>
      </w:r>
    </w:p>
    <w:p>
      <w:pPr/>
      <w:r>
        <w:t>Third-party logical access is strictly controlled and follows the Principle of Least Privilege.</w:t>
      </w:r>
    </w:p>
    <w:p>
      <w:pPr/>
      <w:r>
        <w:t>Third-party logical access is strictly controlled and follows the Principle of Least Privilege.</w:t>
      </w:r>
    </w:p>
    <w:p>
      <w:pPr/>
      <w:r>
        <w:t>Third-party logical access is strictly controlled and follows the Principle of Least Privilege.</w:t>
      </w:r>
    </w:p>
    <w:p>
      <w:pPr>
        <w:pStyle w:val="ListBullet"/>
      </w:pPr>
      <w:r>
        <w:t>Dedicated, non-shared accounts.</w:t>
      </w:r>
    </w:p>
    <w:p>
      <w:pPr>
        <w:pStyle w:val="ListBullet"/>
      </w:pPr>
      <w:r>
        <w:t>Mandatory MFA and VPN access only.</w:t>
      </w:r>
    </w:p>
    <w:p>
      <w:pPr>
        <w:pStyle w:val="ListBullet"/>
      </w:pPr>
      <w:r>
        <w:t>Time-limited access (auto-expiring).</w:t>
      </w:r>
    </w:p>
    <w:p>
      <w:pPr>
        <w:pStyle w:val="ListBullet"/>
      </w:pPr>
      <w:r>
        <w:t>Quarterly access reviews by the Vendor Sponsor.</w:t>
      </w:r>
    </w:p>
    <w:p>
      <w:pPr>
        <w:pStyle w:val="ListBullet"/>
      </w:pPr>
      <w:r>
        <w:t>No standing privileged access; Just-in-Time (JIT) provisioning required.</w:t>
      </w:r>
    </w:p>
    <w:p>
      <w:pPr>
        <w:pStyle w:val="Heading1"/>
      </w:pPr>
      <w:r>
        <w:t>15. Cloud Vendor and SaaS Security - Implementation Detail 15</w:t>
      </w:r>
    </w:p>
    <w:p>
      <w:pPr/>
      <w:r>
        <w:t>Cloud service providers (AWS, Azure, GCP) and SaaS vendors require additional scrutiny.</w:t>
      </w:r>
    </w:p>
    <w:p>
      <w:pPr/>
      <w:r>
        <w:t>Cloud service providers (AWS, Azure, GCP) and SaaS vendors require additional scrutiny.</w:t>
      </w:r>
    </w:p>
    <w:p>
      <w:pPr/>
      <w:r>
        <w:t>Cloud service providers (AWS, Azure, GCP) and SaaS vendors require additional scrutiny.</w:t>
      </w:r>
    </w:p>
    <w:p>
      <w:pPr/>
      <w:r>
        <w:t>Cloud service providers (AWS, Azure, GCP) and SaaS vendors require additional scrutiny.</w:t>
      </w:r>
    </w:p>
    <w:p>
      <w:pPr>
        <w:pStyle w:val="ListBullet"/>
      </w:pPr>
      <w:r>
        <w:t>Data residency requirements (India localization per DPDP Act if applicable).</w:t>
      </w:r>
    </w:p>
    <w:p>
      <w:pPr>
        <w:pStyle w:val="ListBullet"/>
      </w:pPr>
      <w:r>
        <w:t>Encryption at rest and in transit.</w:t>
      </w:r>
    </w:p>
    <w:p>
      <w:pPr>
        <w:pStyle w:val="ListBullet"/>
      </w:pPr>
      <w:r>
        <w:t>SOC 2 Type II attestation mandatory.</w:t>
      </w:r>
    </w:p>
    <w:p>
      <w:pPr>
        <w:pStyle w:val="ListBullet"/>
      </w:pPr>
      <w:r>
        <w:t>SSO integration with Vistara's Identity Provider (SAML/OIDC).</w:t>
      </w:r>
    </w:p>
    <w:p>
      <w:pPr>
        <w:pStyle w:val="Heading1"/>
      </w:pPr>
      <w:r>
        <w:t>16. Third-Party Risk Assessment Framework - Implementation Detail 16</w:t>
      </w:r>
    </w:p>
    <w:p>
      <w:pPr/>
      <w:r>
        <w:t>The primary objective of the Third-Party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Third-Party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Third-Party Security, the more stringent control shall apply. The policy owner is responsible for monitoring regulatory changes and updating these requirements accordingly.</w:t>
      </w:r>
    </w:p>
    <w:p>
      <w:pPr/>
      <w:r>
        <w:t>Exceptions to the Third-Party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Third-Party Security controls will be conducted by the Internal Audit and Information Security teams. Non-compliance may result in disciplinary action up to and including termination of employment or contract.</w:t>
      </w:r>
    </w:p>
    <w:p>
      <w:pPr/>
      <w:r>
        <w:t>Vistara categorizes vendors into four tiers based on risk exposure and data access.</w:t>
      </w:r>
    </w:p>
    <w:p>
      <w:pPr/>
      <w:r>
        <w:t>The primary objective of the Third-Party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Third-Party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Third-Party Security, the more stringent control shall apply. The policy owner is responsible for monitoring regulatory changes and updating these requirements accordingly.</w:t>
      </w:r>
    </w:p>
    <w:p>
      <w:pPr/>
      <w:r>
        <w:t>Exceptions to the Third-Party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Third-Party Security controls will be conducted by the Internal Audit and Information Security teams. Non-compliance may result in disciplinary action up to and including termination of employment or contract.</w:t>
      </w:r>
    </w:p>
    <w:p>
      <w:pPr/>
      <w:r>
        <w:t>Vistara categorizes vendors into four tiers based on risk exposure and data access.</w:t>
      </w:r>
    </w:p>
    <w:p>
      <w:pPr/>
      <w:r>
        <w:t>The primary objective of the Third-Party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Third-Party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Third-Party Security, the more stringent control shall apply. The policy owner is responsible for monitoring regulatory changes and updating these requirements accordingly.</w:t>
      </w:r>
    </w:p>
    <w:p>
      <w:pPr/>
      <w:r>
        <w:t>Exceptions to the Third-Party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Third-Party Security controls will be conducted by the Internal Audit and Information Security teams. Non-compliance may result in disciplinary action up to and including termination of employment or contract.</w:t>
      </w:r>
    </w:p>
    <w:p>
      <w:pPr/>
      <w:r>
        <w:t>Vistara categorizes vendors into four tiers based on risk exposure and data access.</w:t>
      </w:r>
    </w:p>
    <w:p>
      <w:pPr/>
      <w:r>
        <w:t>The primary objective of the Third-Party Security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Third-Party Security.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Third-Party Security, the more stringent control shall apply. The policy owner is responsible for monitoring regulatory changes and updating these requirements accordingly.</w:t>
      </w:r>
    </w:p>
    <w:p>
      <w:pPr/>
      <w:r>
        <w:t>Exceptions to the Third-Party Security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Third-Party Security controls will be conducted by the Internal Audit and Information Security teams. Non-compliance may result in disciplinary action up to and including termination of employment or contract.</w:t>
      </w:r>
    </w:p>
    <w:p>
      <w:pPr/>
      <w:r>
        <w:t>Vistara categorizes vendors into four tiers based on risk exposure and data access.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40"/>
            <w:shd w:fill="1B3A5C" w:val="clear"/>
          </w:tcPr>
          <w:p>
            <w:pPr>
              <w:jc w:val="center"/>
            </w:pPr>
            <w:r>
              <w:rPr>
                <w:rFonts w:ascii="Calibri" w:hAnsi="Calibri"/>
                <w:b/>
                <w:color w:val="FFFFFF"/>
                <w:sz w:val="20"/>
              </w:rPr>
              <w:t>Tier</w:t>
            </w:r>
          </w:p>
        </w:tc>
        <w:tc>
          <w:tcPr>
            <w:tcW w:type="dxa" w:w="3600"/>
            <w:shd w:fill="1B3A5C" w:val="clear"/>
          </w:tcPr>
          <w:p>
            <w:pPr>
              <w:jc w:val="center"/>
            </w:pPr>
            <w:r>
              <w:rPr>
                <w:rFonts w:ascii="Calibri" w:hAnsi="Calibri"/>
                <w:b/>
                <w:color w:val="FFFFFF"/>
                <w:sz w:val="20"/>
              </w:rPr>
              <w:t>Definition</w:t>
            </w:r>
          </w:p>
        </w:tc>
        <w:tc>
          <w:tcPr>
            <w:tcW w:type="dxa" w:w="3600"/>
            <w:shd w:fill="1B3A5C" w:val="clear"/>
          </w:tcPr>
          <w:p>
            <w:pPr>
              <w:jc w:val="center"/>
            </w:pPr>
            <w:r>
              <w:rPr>
                <w:rFonts w:ascii="Calibri" w:hAnsi="Calibri"/>
                <w:b/>
                <w:color w:val="FFFFFF"/>
                <w:sz w:val="20"/>
              </w:rPr>
              <w:t>Assessment Required</w:t>
            </w:r>
          </w:p>
        </w:tc>
        <w:tc>
          <w:tcPr>
            <w:tcW w:type="dxa" w:w="1440"/>
            <w:shd w:fill="1B3A5C" w:val="clear"/>
          </w:tcPr>
          <w:p>
            <w:pPr>
              <w:jc w:val="center"/>
            </w:pPr>
            <w:r>
              <w:rPr>
                <w:rFonts w:ascii="Calibri" w:hAnsi="Calibri"/>
                <w:b/>
                <w:color w:val="FFFFFF"/>
                <w:sz w:val="20"/>
              </w:rPr>
              <w:t>Frequency</w:t>
            </w:r>
          </w:p>
        </w:tc>
      </w:tr>
      <w:tr>
        <w:tc>
          <w:tcPr>
            <w:tcW w:type="dxa" w:w="1440"/>
          </w:tcPr>
          <w:p>
            <w:r>
              <w:rPr>
                <w:rFonts w:ascii="Calibri" w:hAnsi="Calibri"/>
                <w:color w:val="333333"/>
                <w:sz w:val="18"/>
              </w:rPr>
              <w:t>Critical</w:t>
            </w:r>
          </w:p>
        </w:tc>
        <w:tc>
          <w:tcPr>
            <w:tcW w:type="dxa" w:w="3600"/>
          </w:tcPr>
          <w:p>
            <w:r>
              <w:rPr>
                <w:rFonts w:ascii="Calibri" w:hAnsi="Calibri"/>
                <w:color w:val="333333"/>
                <w:sz w:val="18"/>
              </w:rPr>
              <w:t>Access to customer data, core system access</w:t>
            </w:r>
          </w:p>
        </w:tc>
        <w:tc>
          <w:tcPr>
            <w:tcW w:type="dxa" w:w="3600"/>
          </w:tcPr>
          <w:p>
            <w:r>
              <w:rPr>
                <w:rFonts w:ascii="Calibri" w:hAnsi="Calibri"/>
                <w:color w:val="333333"/>
                <w:sz w:val="18"/>
              </w:rPr>
              <w:t>Questionnaire, SOC2/ISO review, Pentest, Right to Audit</w:t>
            </w:r>
          </w:p>
        </w:tc>
        <w:tc>
          <w:tcPr>
            <w:tcW w:type="dxa" w:w="1440"/>
          </w:tcPr>
          <w:p>
            <w:r>
              <w:rPr>
                <w:rFonts w:ascii="Calibri" w:hAnsi="Calibri"/>
                <w:color w:val="333333"/>
                <w:sz w:val="18"/>
              </w:rPr>
              <w:t>Continuous / Annual</w:t>
            </w:r>
          </w:p>
        </w:tc>
      </w:tr>
      <w:tr>
        <w:tc>
          <w:tcPr>
            <w:tcW w:type="dxa" w:w="1440"/>
            <w:shd w:fill="F2F6FA" w:val="clear"/>
          </w:tcPr>
          <w:p>
            <w:r>
              <w:rPr>
                <w:rFonts w:ascii="Calibri" w:hAnsi="Calibri"/>
                <w:color w:val="333333"/>
                <w:sz w:val="18"/>
              </w:rPr>
              <w:t>High</w:t>
            </w:r>
          </w:p>
        </w:tc>
        <w:tc>
          <w:tcPr>
            <w:tcW w:type="dxa" w:w="3600"/>
            <w:shd w:fill="F2F6FA" w:val="clear"/>
          </w:tcPr>
          <w:p>
            <w:r>
              <w:rPr>
                <w:rFonts w:ascii="Calibri" w:hAnsi="Calibri"/>
                <w:color w:val="333333"/>
                <w:sz w:val="18"/>
              </w:rPr>
              <w:t>Internal data access</w:t>
            </w:r>
          </w:p>
        </w:tc>
        <w:tc>
          <w:tcPr>
            <w:tcW w:type="dxa" w:w="3600"/>
            <w:shd w:fill="F2F6FA" w:val="clear"/>
          </w:tcPr>
          <w:p>
            <w:r>
              <w:rPr>
                <w:rFonts w:ascii="Calibri" w:hAnsi="Calibri"/>
                <w:color w:val="333333"/>
                <w:sz w:val="18"/>
              </w:rPr>
              <w:t>Questionnaire, SOC2 review</w:t>
            </w:r>
          </w:p>
        </w:tc>
        <w:tc>
          <w:tcPr>
            <w:tcW w:type="dxa" w:w="1440"/>
            <w:shd w:fill="F2F6FA" w:val="clear"/>
          </w:tcPr>
          <w:p>
            <w:r>
              <w:rPr>
                <w:rFonts w:ascii="Calibri" w:hAnsi="Calibri"/>
                <w:color w:val="333333"/>
                <w:sz w:val="18"/>
              </w:rPr>
              <w:t>Annual</w:t>
            </w:r>
          </w:p>
        </w:tc>
      </w:tr>
      <w:tr>
        <w:tc>
          <w:tcPr>
            <w:tcW w:type="dxa" w:w="1440"/>
          </w:tcPr>
          <w:p>
            <w:r>
              <w:rPr>
                <w:rFonts w:ascii="Calibri" w:hAnsi="Calibri"/>
                <w:color w:val="333333"/>
                <w:sz w:val="18"/>
              </w:rPr>
              <w:t>Medium</w:t>
            </w:r>
          </w:p>
        </w:tc>
        <w:tc>
          <w:tcPr>
            <w:tcW w:type="dxa" w:w="3600"/>
          </w:tcPr>
          <w:p>
            <w:r>
              <w:rPr>
                <w:rFonts w:ascii="Calibri" w:hAnsi="Calibri"/>
                <w:color w:val="333333"/>
                <w:sz w:val="18"/>
              </w:rPr>
              <w:t>Limited system access</w:t>
            </w:r>
          </w:p>
        </w:tc>
        <w:tc>
          <w:tcPr>
            <w:tcW w:type="dxa" w:w="3600"/>
          </w:tcPr>
          <w:p>
            <w:r>
              <w:rPr>
                <w:rFonts w:ascii="Calibri" w:hAnsi="Calibri"/>
                <w:color w:val="333333"/>
                <w:sz w:val="18"/>
              </w:rPr>
              <w:t>Questionnaire</w:t>
            </w:r>
          </w:p>
        </w:tc>
        <w:tc>
          <w:tcPr>
            <w:tcW w:type="dxa" w:w="1440"/>
          </w:tcPr>
          <w:p>
            <w:r>
              <w:rPr>
                <w:rFonts w:ascii="Calibri" w:hAnsi="Calibri"/>
                <w:color w:val="333333"/>
                <w:sz w:val="18"/>
              </w:rPr>
              <w:t>Biennial</w:t>
            </w:r>
          </w:p>
        </w:tc>
      </w:tr>
      <w:tr>
        <w:tc>
          <w:tcPr>
            <w:tcW w:type="dxa" w:w="1440"/>
            <w:shd w:fill="F2F6FA" w:val="clear"/>
          </w:tcPr>
          <w:p>
            <w:r>
              <w:rPr>
                <w:rFonts w:ascii="Calibri" w:hAnsi="Calibri"/>
                <w:color w:val="333333"/>
                <w:sz w:val="18"/>
              </w:rPr>
              <w:t>Low</w:t>
            </w:r>
          </w:p>
        </w:tc>
        <w:tc>
          <w:tcPr>
            <w:tcW w:type="dxa" w:w="3600"/>
            <w:shd w:fill="F2F6FA" w:val="clear"/>
          </w:tcPr>
          <w:p>
            <w:r>
              <w:rPr>
                <w:rFonts w:ascii="Calibri" w:hAnsi="Calibri"/>
                <w:color w:val="333333"/>
                <w:sz w:val="18"/>
              </w:rPr>
              <w:t>No data or system access</w:t>
            </w:r>
          </w:p>
        </w:tc>
        <w:tc>
          <w:tcPr>
            <w:tcW w:type="dxa" w:w="3600"/>
            <w:shd w:fill="F2F6FA" w:val="clear"/>
          </w:tcPr>
          <w:p>
            <w:r>
              <w:rPr>
                <w:rFonts w:ascii="Calibri" w:hAnsi="Calibri"/>
                <w:color w:val="333333"/>
                <w:sz w:val="18"/>
              </w:rPr>
              <w:t>Basic screening</w:t>
            </w:r>
          </w:p>
        </w:tc>
        <w:tc>
          <w:tcPr>
            <w:tcW w:type="dxa" w:w="1440"/>
            <w:shd w:fill="F2F6FA" w:val="clear"/>
          </w:tcPr>
          <w:p>
            <w:r>
              <w:rPr>
                <w:rFonts w:ascii="Calibri" w:hAnsi="Calibri"/>
                <w:color w:val="333333"/>
                <w:sz w:val="18"/>
              </w:rPr>
              <w:t>Upon renewal</w:t>
            </w:r>
          </w:p>
        </w:tc>
      </w:tr>
    </w:tbl>
    <w:p/>
    <w:p>
      <w:pPr>
        <w:pStyle w:val="Heading1"/>
      </w:pPr>
      <w:r>
        <w:t>17. Contractual Security Requirements - Implementation Detail 17</w:t>
      </w:r>
    </w:p>
    <w:p>
      <w:pPr/>
      <w:r>
        <w:t>All vendor contracts must include robust security clauses negotiated by the Legal and Procurement teams.</w:t>
      </w:r>
    </w:p>
    <w:p>
      <w:pPr/>
      <w:r>
        <w:t>All vendor contracts must include robust security clauses negotiated by the Legal and Procurement teams.</w:t>
      </w:r>
    </w:p>
    <w:p>
      <w:pPr/>
      <w:r>
        <w:t>All vendor contracts must include robust security clauses negotiated by the Legal and Procurement teams.</w:t>
      </w:r>
    </w:p>
    <w:p>
      <w:pPr/>
      <w:r>
        <w:t>All vendor contracts must include robust security clauses negotiated by the Legal and Procurement teams.</w:t>
      </w:r>
    </w:p>
    <w:p>
      <w:pPr>
        <w:pStyle w:val="ListBullet"/>
      </w:pPr>
      <w:r>
        <w:t>Data Processing Agreements (DPAs) for PII.</w:t>
      </w:r>
    </w:p>
    <w:p>
      <w:pPr>
        <w:pStyle w:val="ListBullet"/>
      </w:pPr>
      <w:r>
        <w:t>Security SLAs and uptime guarantees.</w:t>
      </w:r>
    </w:p>
    <w:p>
      <w:pPr>
        <w:pStyle w:val="ListBullet"/>
      </w:pPr>
      <w:r>
        <w:t>Mandatory breach notification to Vistara within 24 hours of discovery.</w:t>
      </w:r>
    </w:p>
    <w:p>
      <w:pPr>
        <w:pStyle w:val="ListBullet"/>
      </w:pPr>
      <w:r>
        <w:t>Right to Audit clause for Critical vendors.</w:t>
      </w:r>
    </w:p>
    <w:p>
      <w:pPr>
        <w:pStyle w:val="ListBullet"/>
      </w:pPr>
      <w:r>
        <w:t>Data return or certified destruction upon contract termination.</w:t>
      </w:r>
    </w:p>
    <w:p>
      <w:pPr>
        <w:pStyle w:val="Heading1"/>
      </w:pPr>
      <w:r>
        <w:t>18. Policy Scenarios</w:t>
      </w:r>
    </w:p>
    <w:p>
      <w:pPr>
        <w:pStyle w:val="Heading3"/>
      </w:pPr>
      <w:r>
        <w:t>Scenario 1: Onboarding a New Marketing SaaS</w:t>
      </w:r>
    </w:p>
    <w:p>
      <w:r>
        <w:rPr>
          <w:b/>
          <w:color w:val="1B3A5C"/>
        </w:rPr>
        <w:t xml:space="preserve">Situation: </w:t>
      </w:r>
      <w:r>
        <w:t>Marketing team wants to use a new SaaS tool that processes customer emails.</w:t>
      </w:r>
    </w:p>
    <w:p>
      <w:r>
        <w:rPr>
          <w:b/>
          <w:color w:val="1B3A5C"/>
        </w:rPr>
        <w:t xml:space="preserve">Relevant Requirements: </w:t>
      </w:r>
      <w:r>
        <w:t>Tier High Assessment, DPA, SSO</w:t>
      </w:r>
    </w:p>
    <w:p>
      <w:r>
        <w:rPr>
          <w:b/>
          <w:color w:val="1B3A5C"/>
        </w:rPr>
        <w:t xml:space="preserve">Expected Process: </w:t>
      </w:r>
      <w:r>
        <w:t>Vendor manager submits request to Procurement. Security team conducts SOC2 review. Legal executes DPA. IT integrates via SSO.</w:t>
      </w:r>
    </w:p>
    <w:p/>
    <w:p>
      <w:pPr>
        <w:pStyle w:val="Heading1"/>
      </w:pPr>
      <w:r>
        <w:t>19. Frequently Asked Questions</w:t>
      </w:r>
    </w:p>
    <w:p>
      <w:r>
        <w:rPr>
          <w:rFonts w:ascii="Calibri" w:hAnsi="Calibri"/>
          <w:b/>
          <w:color w:val="1B3A5C"/>
          <w:sz w:val="22"/>
        </w:rPr>
        <w:t>Q: How do we handle vendor risk for 1?</w:t>
      </w:r>
    </w:p>
    <w:p>
      <w:pPr>
        <w:spacing w:after="240"/>
      </w:pPr>
      <w:r>
        <w:rPr>
          <w:rFonts w:ascii="Calibri" w:hAnsi="Calibri"/>
          <w:color w:val="333333"/>
          <w:sz w:val="22"/>
        </w:rPr>
        <w:t>A: Refer to the Third-Party Risk Assessment framework. Vendors must comply with Vistara SLAs and submit required attestation reports.</w:t>
      </w:r>
    </w:p>
    <w:p>
      <w:r>
        <w:rPr>
          <w:rFonts w:ascii="Calibri" w:hAnsi="Calibri"/>
          <w:b/>
          <w:color w:val="1B3A5C"/>
          <w:sz w:val="22"/>
        </w:rPr>
        <w:t>Q: How do we handle vendor risk for 2?</w:t>
      </w:r>
    </w:p>
    <w:p>
      <w:pPr>
        <w:spacing w:after="240"/>
      </w:pPr>
      <w:r>
        <w:rPr>
          <w:rFonts w:ascii="Calibri" w:hAnsi="Calibri"/>
          <w:color w:val="333333"/>
          <w:sz w:val="22"/>
        </w:rPr>
        <w:t>A: Refer to the Third-Party Risk Assessment framework. Vendors must comply with Vistara SLAs and submit required attestation reports.</w:t>
      </w:r>
    </w:p>
    <w:p>
      <w:r>
        <w:rPr>
          <w:rFonts w:ascii="Calibri" w:hAnsi="Calibri"/>
          <w:b/>
          <w:color w:val="1B3A5C"/>
          <w:sz w:val="22"/>
        </w:rPr>
        <w:t>Q: How do we handle vendor risk for 3?</w:t>
      </w:r>
    </w:p>
    <w:p>
      <w:pPr>
        <w:spacing w:after="240"/>
      </w:pPr>
      <w:r>
        <w:rPr>
          <w:rFonts w:ascii="Calibri" w:hAnsi="Calibri"/>
          <w:color w:val="333333"/>
          <w:sz w:val="22"/>
        </w:rPr>
        <w:t>A: Refer to the Third-Party Risk Assessment framework. Vendors must comply with Vistara SLAs and submit required attestation reports.</w:t>
      </w:r>
    </w:p>
    <w:p>
      <w:r>
        <w:rPr>
          <w:rFonts w:ascii="Calibri" w:hAnsi="Calibri"/>
          <w:b/>
          <w:color w:val="1B3A5C"/>
          <w:sz w:val="22"/>
        </w:rPr>
        <w:t>Q: How do we handle vendor risk for 4?</w:t>
      </w:r>
    </w:p>
    <w:p>
      <w:pPr>
        <w:spacing w:after="240"/>
      </w:pPr>
      <w:r>
        <w:rPr>
          <w:rFonts w:ascii="Calibri" w:hAnsi="Calibri"/>
          <w:color w:val="333333"/>
          <w:sz w:val="22"/>
        </w:rPr>
        <w:t>A: Refer to the Third-Party Risk Assessment framework. Vendors must comply with Vistara SLAs and submit required attestation reports.</w:t>
      </w:r>
    </w:p>
    <w:p>
      <w:r>
        <w:rPr>
          <w:rFonts w:ascii="Calibri" w:hAnsi="Calibri"/>
          <w:b/>
          <w:color w:val="1B3A5C"/>
          <w:sz w:val="22"/>
        </w:rPr>
        <w:t>Q: How do we handle vendor risk for 5?</w:t>
      </w:r>
    </w:p>
    <w:p>
      <w:pPr>
        <w:spacing w:after="240"/>
      </w:pPr>
      <w:r>
        <w:rPr>
          <w:rFonts w:ascii="Calibri" w:hAnsi="Calibri"/>
          <w:color w:val="333333"/>
          <w:sz w:val="22"/>
        </w:rPr>
        <w:t>A: Refer to the Third-Party Risk Assessment framework. Vendors must comply with Vistara SLAs and submit required attestation reports.</w:t>
      </w:r>
    </w:p>
    <w:p>
      <w:r>
        <w:rPr>
          <w:rFonts w:ascii="Calibri" w:hAnsi="Calibri"/>
          <w:b/>
          <w:color w:val="1B3A5C"/>
          <w:sz w:val="22"/>
        </w:rPr>
        <w:t>Q: How do we handle vendor risk for 6?</w:t>
      </w:r>
    </w:p>
    <w:p>
      <w:pPr>
        <w:spacing w:after="240"/>
      </w:pPr>
      <w:r>
        <w:rPr>
          <w:rFonts w:ascii="Calibri" w:hAnsi="Calibri"/>
          <w:color w:val="333333"/>
          <w:sz w:val="22"/>
        </w:rPr>
        <w:t>A: Refer to the Third-Party Risk Assessment framework. Vendors must comply with Vistara SLAs and submit required attestation reports.</w:t>
      </w:r>
    </w:p>
    <w:p>
      <w:r>
        <w:rPr>
          <w:rFonts w:ascii="Calibri" w:hAnsi="Calibri"/>
          <w:b/>
          <w:color w:val="1B3A5C"/>
          <w:sz w:val="22"/>
        </w:rPr>
        <w:t>Q: How do we handle vendor risk for 7?</w:t>
      </w:r>
    </w:p>
    <w:p>
      <w:pPr>
        <w:spacing w:after="240"/>
      </w:pPr>
      <w:r>
        <w:rPr>
          <w:rFonts w:ascii="Calibri" w:hAnsi="Calibri"/>
          <w:color w:val="333333"/>
          <w:sz w:val="22"/>
        </w:rPr>
        <w:t>A: Refer to the Third-Party Risk Assessment framework. Vendors must comply with Vistara SLAs and submit required attestation reports.</w:t>
      </w:r>
    </w:p>
    <w:p>
      <w:r>
        <w:rPr>
          <w:rFonts w:ascii="Calibri" w:hAnsi="Calibri"/>
          <w:b/>
          <w:color w:val="1B3A5C"/>
          <w:sz w:val="22"/>
        </w:rPr>
        <w:t>Q: How do we handle vendor risk for 8?</w:t>
      </w:r>
    </w:p>
    <w:p>
      <w:pPr>
        <w:spacing w:after="240"/>
      </w:pPr>
      <w:r>
        <w:rPr>
          <w:rFonts w:ascii="Calibri" w:hAnsi="Calibri"/>
          <w:color w:val="333333"/>
          <w:sz w:val="22"/>
        </w:rPr>
        <w:t>A: Refer to the Third-Party Risk Assessment framework. Vendors must comply with Vistara SLAs and submit required attestation reports.</w:t>
      </w:r>
    </w:p>
    <w:p>
      <w:r>
        <w:rPr>
          <w:rFonts w:ascii="Calibri" w:hAnsi="Calibri"/>
          <w:b/>
          <w:color w:val="1B3A5C"/>
          <w:sz w:val="22"/>
        </w:rPr>
        <w:t>Q: How do we handle vendor risk for 9?</w:t>
      </w:r>
    </w:p>
    <w:p>
      <w:pPr>
        <w:spacing w:after="240"/>
      </w:pPr>
      <w:r>
        <w:rPr>
          <w:rFonts w:ascii="Calibri" w:hAnsi="Calibri"/>
          <w:color w:val="333333"/>
          <w:sz w:val="22"/>
        </w:rPr>
        <w:t>A: Refer to the Third-Party Risk Assessment framework. Vendors must comply with Vistara SLAs and submit required attestation reports.</w:t>
      </w:r>
    </w:p>
    <w:p>
      <w:r>
        <w:rPr>
          <w:rFonts w:ascii="Calibri" w:hAnsi="Calibri"/>
          <w:b/>
          <w:color w:val="1B3A5C"/>
          <w:sz w:val="22"/>
        </w:rPr>
        <w:t>Q: How do we handle vendor risk for 10?</w:t>
      </w:r>
    </w:p>
    <w:p>
      <w:pPr>
        <w:spacing w:after="240"/>
      </w:pPr>
      <w:r>
        <w:rPr>
          <w:rFonts w:ascii="Calibri" w:hAnsi="Calibri"/>
          <w:color w:val="333333"/>
          <w:sz w:val="22"/>
        </w:rPr>
        <w:t>A: Refer to the Third-Party Risk Assessment framework. Vendors must comply with Vistara SLAs and submit required attestation reports.</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01 Aug 2024</w:t>
            </w:r>
          </w:p>
        </w:tc>
        <w:tc>
          <w:tcPr>
            <w:tcW w:type="dxa" w:w="2160"/>
          </w:tcPr>
          <w:p>
            <w:r>
              <w:rPr>
                <w:rFonts w:ascii="Calibri" w:hAnsi="Calibri"/>
                <w:color w:val="333333"/>
                <w:sz w:val="18"/>
              </w:rPr>
              <w:t>Procurement</w:t>
            </w:r>
          </w:p>
        </w:tc>
        <w:tc>
          <w:tcPr>
            <w:tcW w:type="dxa" w:w="4320"/>
          </w:tcPr>
          <w:p>
            <w:r>
              <w:rPr>
                <w:rFonts w:ascii="Calibri" w:hAnsi="Calibri"/>
                <w:color w:val="333333"/>
                <w:sz w:val="18"/>
              </w:rPr>
              <w:t>Initial</w:t>
            </w:r>
          </w:p>
        </w:tc>
      </w:tr>
      <w:tr>
        <w:tc>
          <w:tcPr>
            <w:tcW w:type="dxa" w:w="1152"/>
            <w:shd w:fill="F2F6FA" w:val="clear"/>
          </w:tcPr>
          <w:p>
            <w:r>
              <w:rPr>
                <w:rFonts w:ascii="Calibri" w:hAnsi="Calibri"/>
                <w:color w:val="333333"/>
                <w:sz w:val="18"/>
              </w:rPr>
              <w:t>1.1</w:t>
            </w:r>
          </w:p>
        </w:tc>
        <w:tc>
          <w:tcPr>
            <w:tcW w:type="dxa" w:w="1872"/>
            <w:shd w:fill="F2F6FA" w:val="clear"/>
          </w:tcPr>
          <w:p>
            <w:r>
              <w:rPr>
                <w:rFonts w:ascii="Calibri" w:hAnsi="Calibri"/>
                <w:color w:val="333333"/>
                <w:sz w:val="18"/>
              </w:rPr>
              <w:t>01 Feb 2026</w:t>
            </w:r>
          </w:p>
        </w:tc>
        <w:tc>
          <w:tcPr>
            <w:tcW w:type="dxa" w:w="2160"/>
            <w:shd w:fill="F2F6FA" w:val="clear"/>
          </w:tcPr>
          <w:p>
            <w:r>
              <w:rPr>
                <w:rFonts w:ascii="Calibri" w:hAnsi="Calibri"/>
                <w:color w:val="333333"/>
                <w:sz w:val="18"/>
              </w:rPr>
              <w:t>CISO</w:t>
            </w:r>
          </w:p>
        </w:tc>
        <w:tc>
          <w:tcPr>
            <w:tcW w:type="dxa" w:w="4320"/>
            <w:shd w:fill="F2F6FA" w:val="clear"/>
          </w:tcPr>
          <w:p>
            <w:r>
              <w:rPr>
                <w:rFonts w:ascii="Calibri" w:hAnsi="Calibri"/>
                <w:color w:val="333333"/>
                <w:sz w:val="18"/>
              </w:rPr>
              <w:t>Added SaaS baseline</w:t>
            </w:r>
          </w:p>
        </w:tc>
      </w:tr>
      <w:tr>
        <w:tc>
          <w:tcPr>
            <w:tcW w:type="dxa" w:w="1152"/>
          </w:tcPr>
          <w:p>
            <w:r>
              <w:rPr>
                <w:rFonts w:ascii="Calibri" w:hAnsi="Calibri"/>
                <w:color w:val="333333"/>
                <w:sz w:val="18"/>
              </w:rPr>
              <w:t>1.2</w:t>
            </w:r>
          </w:p>
        </w:tc>
        <w:tc>
          <w:tcPr>
            <w:tcW w:type="dxa" w:w="1872"/>
          </w:tcPr>
          <w:p>
            <w:r>
              <w:rPr>
                <w:rFonts w:ascii="Calibri" w:hAnsi="Calibri"/>
                <w:color w:val="333333"/>
                <w:sz w:val="18"/>
              </w:rPr>
              <w:t>01 Aug 2026</w:t>
            </w:r>
          </w:p>
        </w:tc>
        <w:tc>
          <w:tcPr>
            <w:tcW w:type="dxa" w:w="2160"/>
          </w:tcPr>
          <w:p>
            <w:r>
              <w:rPr>
                <w:rFonts w:ascii="Calibri" w:hAnsi="Calibri"/>
                <w:color w:val="333333"/>
                <w:sz w:val="18"/>
              </w:rPr>
              <w:t>CISO</w:t>
            </w:r>
          </w:p>
        </w:tc>
        <w:tc>
          <w:tcPr>
            <w:tcW w:type="dxa" w:w="4320"/>
          </w:tcPr>
          <w:p>
            <w:r>
              <w:rPr>
                <w:rFonts w:ascii="Calibri" w:hAnsi="Calibri"/>
                <w:color w:val="333333"/>
                <w:sz w:val="18"/>
              </w:rPr>
              <w:t>Updated breach notification to 24h</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SEC-012</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