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Protection and Privacy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Protection and Privacy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January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employees, contractors, third-party vendors, and affiliates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July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DATA-002 through DATA-008, SEC-001, SEC-005, HR-006, LEGAL-006, LEGAL-007, AI-003</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w:t>
      </w:r>
    </w:p>
    <w:p>
      <w:pPr/>
      <w:r>
        <w:t>This Foundational Data Protection and Privacy Policy establishes the enterprise-wide framework for managing and protecting personal and sensitive corporate data at Vistara Global Systems. As a multinational technology company, Vistara processes vast amounts of data across our locations in India, Singapore, Dubai, London, and Austin. This policy ensures compliance with the Indian DPDP Act 2023, GDPR (for UK/EU operations), and the Singapore PDPA, establishing a unified standard of privacy and security.</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2. Data Protection Principles</w:t>
      </w:r>
    </w:p>
    <w:p>
      <w:pPr>
        <w:pStyle w:val="ListBullet"/>
      </w:pPr>
      <w:r>
        <w:t>Lawfulness, Fairness, and Transparency: Data must be processed legally.</w:t>
      </w:r>
    </w:p>
    <w:p>
      <w:pPr>
        <w:pStyle w:val="ListBullet"/>
      </w:pPr>
      <w:r>
        <w:t>Purpose Limitation: Data collected for specified, explicit, and legitimate purposes.</w:t>
      </w:r>
    </w:p>
    <w:p>
      <w:pPr>
        <w:pStyle w:val="ListBullet"/>
      </w:pPr>
      <w:r>
        <w:t>Data Minimization: Adequate, relevant, and limited to what is necessary.</w:t>
      </w:r>
    </w:p>
    <w:p>
      <w:pPr>
        <w:pStyle w:val="ListBullet"/>
      </w:pPr>
      <w:r>
        <w:t>Accuracy: Kept accurate and up to date.</w:t>
      </w:r>
    </w:p>
    <w:p>
      <w:pPr>
        <w:pStyle w:val="ListBullet"/>
      </w:pPr>
      <w:r>
        <w:t>Storage Limitation: Kept no longer than necessary.</w:t>
      </w:r>
    </w:p>
    <w:p>
      <w:pPr>
        <w:pStyle w:val="ListBullet"/>
      </w:pPr>
      <w:r>
        <w:t>Integrity and Confidentiality: Processed securely.</w:t>
      </w:r>
    </w:p>
    <w:p>
      <w:pPr>
        <w:pStyle w:val="ListBullet"/>
      </w:pPr>
      <w:r>
        <w:t>Accountability: The organization is responsible for compliance.</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3. Categories of Personal Data</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B3A5C" w:val="clear"/>
          </w:tcPr>
          <w:p>
            <w:pPr>
              <w:jc w:val="center"/>
            </w:pPr>
            <w:r>
              <w:rPr>
                <w:rFonts w:ascii="Calibri" w:hAnsi="Calibri"/>
                <w:b/>
                <w:color w:val="FFFFFF"/>
                <w:sz w:val="20"/>
              </w:rPr>
              <w:t>Category</w:t>
            </w:r>
          </w:p>
        </w:tc>
        <w:tc>
          <w:tcPr>
            <w:tcW w:type="dxa" w:w="3600"/>
            <w:shd w:fill="1B3A5C" w:val="clear"/>
          </w:tcPr>
          <w:p>
            <w:pPr>
              <w:jc w:val="center"/>
            </w:pPr>
            <w:r>
              <w:rPr>
                <w:rFonts w:ascii="Calibri" w:hAnsi="Calibri"/>
                <w:b/>
                <w:color w:val="FFFFFF"/>
                <w:sz w:val="20"/>
              </w:rPr>
              <w:t>Examples</w:t>
            </w:r>
          </w:p>
        </w:tc>
        <w:tc>
          <w:tcPr>
            <w:tcW w:type="dxa" w:w="2160"/>
            <w:shd w:fill="1B3A5C" w:val="clear"/>
          </w:tcPr>
          <w:p>
            <w:pPr>
              <w:jc w:val="center"/>
            </w:pPr>
            <w:r>
              <w:rPr>
                <w:rFonts w:ascii="Calibri" w:hAnsi="Calibri"/>
                <w:b/>
                <w:color w:val="FFFFFF"/>
                <w:sz w:val="20"/>
              </w:rPr>
              <w:t>Primary Legal Basis</w:t>
            </w:r>
          </w:p>
        </w:tc>
        <w:tc>
          <w:tcPr>
            <w:tcW w:type="dxa" w:w="1440"/>
            <w:shd w:fill="1B3A5C" w:val="clear"/>
          </w:tcPr>
          <w:p>
            <w:pPr>
              <w:jc w:val="center"/>
            </w:pPr>
            <w:r>
              <w:rPr>
                <w:rFonts w:ascii="Calibri" w:hAnsi="Calibri"/>
                <w:b/>
                <w:color w:val="FFFFFF"/>
                <w:sz w:val="20"/>
              </w:rPr>
              <w:t>Retention Reference</w:t>
            </w:r>
          </w:p>
        </w:tc>
      </w:tr>
      <w:tr>
        <w:tc>
          <w:tcPr>
            <w:tcW w:type="dxa" w:w="2160"/>
          </w:tcPr>
          <w:p>
            <w:r>
              <w:rPr>
                <w:rFonts w:ascii="Calibri" w:hAnsi="Calibri"/>
                <w:color w:val="333333"/>
                <w:sz w:val="18"/>
              </w:rPr>
              <w:t>Employee PII</w:t>
            </w:r>
          </w:p>
        </w:tc>
        <w:tc>
          <w:tcPr>
            <w:tcW w:type="dxa" w:w="3600"/>
          </w:tcPr>
          <w:p>
            <w:r>
              <w:rPr>
                <w:rFonts w:ascii="Calibri" w:hAnsi="Calibri"/>
                <w:color w:val="333333"/>
                <w:sz w:val="18"/>
              </w:rPr>
              <w:t>Names, SSN, PAN, Bank Details</w:t>
            </w:r>
          </w:p>
        </w:tc>
        <w:tc>
          <w:tcPr>
            <w:tcW w:type="dxa" w:w="2160"/>
          </w:tcPr>
          <w:p>
            <w:r>
              <w:rPr>
                <w:rFonts w:ascii="Calibri" w:hAnsi="Calibri"/>
                <w:color w:val="333333"/>
                <w:sz w:val="18"/>
              </w:rPr>
              <w:t>Employment Contract</w:t>
            </w:r>
          </w:p>
        </w:tc>
        <w:tc>
          <w:tcPr>
            <w:tcW w:type="dxa" w:w="1440"/>
          </w:tcPr>
          <w:p>
            <w:r>
              <w:rPr>
                <w:rFonts w:ascii="Calibri" w:hAnsi="Calibri"/>
                <w:color w:val="333333"/>
                <w:sz w:val="18"/>
              </w:rPr>
              <w:t>HR-006, DATA-002</w:t>
            </w:r>
          </w:p>
        </w:tc>
      </w:tr>
      <w:tr>
        <w:tc>
          <w:tcPr>
            <w:tcW w:type="dxa" w:w="2160"/>
            <w:shd w:fill="F2F6FA" w:val="clear"/>
          </w:tcPr>
          <w:p>
            <w:r>
              <w:rPr>
                <w:rFonts w:ascii="Calibri" w:hAnsi="Calibri"/>
                <w:color w:val="333333"/>
                <w:sz w:val="18"/>
              </w:rPr>
              <w:t>Customer PII</w:t>
            </w:r>
          </w:p>
        </w:tc>
        <w:tc>
          <w:tcPr>
            <w:tcW w:type="dxa" w:w="3600"/>
            <w:shd w:fill="F2F6FA" w:val="clear"/>
          </w:tcPr>
          <w:p>
            <w:r>
              <w:rPr>
                <w:rFonts w:ascii="Calibri" w:hAnsi="Calibri"/>
                <w:color w:val="333333"/>
                <w:sz w:val="18"/>
              </w:rPr>
              <w:t>Contact details, usage logs, billing</w:t>
            </w:r>
          </w:p>
        </w:tc>
        <w:tc>
          <w:tcPr>
            <w:tcW w:type="dxa" w:w="2160"/>
            <w:shd w:fill="F2F6FA" w:val="clear"/>
          </w:tcPr>
          <w:p>
            <w:r>
              <w:rPr>
                <w:rFonts w:ascii="Calibri" w:hAnsi="Calibri"/>
                <w:color w:val="333333"/>
                <w:sz w:val="18"/>
              </w:rPr>
              <w:t>Contract Performance</w:t>
            </w:r>
          </w:p>
        </w:tc>
        <w:tc>
          <w:tcPr>
            <w:tcW w:type="dxa" w:w="1440"/>
            <w:shd w:fill="F2F6FA" w:val="clear"/>
          </w:tcPr>
          <w:p>
            <w:r>
              <w:rPr>
                <w:rFonts w:ascii="Calibri" w:hAnsi="Calibri"/>
                <w:color w:val="333333"/>
                <w:sz w:val="18"/>
              </w:rPr>
              <w:t>DATA-008, DATA-002</w:t>
            </w:r>
          </w:p>
        </w:tc>
      </w:tr>
      <w:tr>
        <w:tc>
          <w:tcPr>
            <w:tcW w:type="dxa" w:w="2160"/>
          </w:tcPr>
          <w:p>
            <w:r>
              <w:rPr>
                <w:rFonts w:ascii="Calibri" w:hAnsi="Calibri"/>
                <w:color w:val="333333"/>
                <w:sz w:val="18"/>
              </w:rPr>
              <w:t>Prospect Data</w:t>
            </w:r>
          </w:p>
        </w:tc>
        <w:tc>
          <w:tcPr>
            <w:tcW w:type="dxa" w:w="3600"/>
          </w:tcPr>
          <w:p>
            <w:r>
              <w:rPr>
                <w:rFonts w:ascii="Calibri" w:hAnsi="Calibri"/>
                <w:color w:val="333333"/>
                <w:sz w:val="18"/>
              </w:rPr>
              <w:t>Marketing lists, event attendees</w:t>
            </w:r>
          </w:p>
        </w:tc>
        <w:tc>
          <w:tcPr>
            <w:tcW w:type="dxa" w:w="2160"/>
          </w:tcPr>
          <w:p>
            <w:r>
              <w:rPr>
                <w:rFonts w:ascii="Calibri" w:hAnsi="Calibri"/>
                <w:color w:val="333333"/>
                <w:sz w:val="18"/>
              </w:rPr>
              <w:t>Legitimate Interest / Consent</w:t>
            </w:r>
          </w:p>
        </w:tc>
        <w:tc>
          <w:tcPr>
            <w:tcW w:type="dxa" w:w="1440"/>
          </w:tcPr>
          <w:p>
            <w:r>
              <w:rPr>
                <w:rFonts w:ascii="Calibri" w:hAnsi="Calibri"/>
                <w:color w:val="333333"/>
                <w:sz w:val="18"/>
              </w:rPr>
              <w:t>DATA-002</w:t>
            </w:r>
          </w:p>
        </w:tc>
      </w:tr>
      <w:tr>
        <w:tc>
          <w:tcPr>
            <w:tcW w:type="dxa" w:w="2160"/>
            <w:shd w:fill="F2F6FA" w:val="clear"/>
          </w:tcPr>
          <w:p>
            <w:r>
              <w:rPr>
                <w:rFonts w:ascii="Calibri" w:hAnsi="Calibri"/>
                <w:color w:val="333333"/>
                <w:sz w:val="18"/>
              </w:rPr>
              <w:t>Vendor Contacts</w:t>
            </w:r>
          </w:p>
        </w:tc>
        <w:tc>
          <w:tcPr>
            <w:tcW w:type="dxa" w:w="3600"/>
            <w:shd w:fill="F2F6FA" w:val="clear"/>
          </w:tcPr>
          <w:p>
            <w:r>
              <w:rPr>
                <w:rFonts w:ascii="Calibri" w:hAnsi="Calibri"/>
                <w:color w:val="333333"/>
                <w:sz w:val="18"/>
              </w:rPr>
              <w:t>Account managers, billing contacts</w:t>
            </w:r>
          </w:p>
        </w:tc>
        <w:tc>
          <w:tcPr>
            <w:tcW w:type="dxa" w:w="2160"/>
            <w:shd w:fill="F2F6FA" w:val="clear"/>
          </w:tcPr>
          <w:p>
            <w:r>
              <w:rPr>
                <w:rFonts w:ascii="Calibri" w:hAnsi="Calibri"/>
                <w:color w:val="333333"/>
                <w:sz w:val="18"/>
              </w:rPr>
              <w:t>Contract Performance</w:t>
            </w:r>
          </w:p>
        </w:tc>
        <w:tc>
          <w:tcPr>
            <w:tcW w:type="dxa" w:w="1440"/>
            <w:shd w:fill="F2F6FA" w:val="clear"/>
          </w:tcPr>
          <w:p>
            <w:r>
              <w:rPr>
                <w:rFonts w:ascii="Calibri" w:hAnsi="Calibri"/>
                <w:color w:val="333333"/>
                <w:sz w:val="18"/>
              </w:rPr>
              <w:t>SEC-012, DATA-002</w:t>
            </w:r>
          </w:p>
        </w:tc>
      </w:tr>
    </w:tbl>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5.1. Detailed Standard Operating Procedure - Phase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5.2. Detailed Standard Operating Procedure - Phase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5.3. Detailed Standard Operating Procedure - Phase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5.4. Detailed Standard Operating Procedure - Phase 4</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5.5. Detailed Standard Operating Procedure - Phase 5</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5.6. Detailed Standard Operating Procedure - Phase 6</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5.7. Detailed Standard Operating Procedure - Phase 7</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5.8. Detailed Standard Operating Procedure - Phase 8</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5.8.1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5.8.2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5.8.3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6. Scenarios</w:t>
      </w:r>
    </w:p>
    <w:p>
      <w:pPr>
        <w:pStyle w:val="Heading3"/>
      </w:pPr>
      <w:r>
        <w:t>Scenario 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3: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4: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5: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6: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7: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8: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9: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10: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13: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14: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15: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1"/>
      </w:pPr>
      <w:r>
        <w:t>7. Frequently Asked Questions</w:t>
      </w:r>
    </w:p>
    <w:p>
      <w:r>
        <w:rPr>
          <w:rFonts w:ascii="Calibri" w:hAnsi="Calibri"/>
          <w:b/>
          <w:color w:val="1B3A5C"/>
          <w:sz w:val="22"/>
        </w:rPr>
        <w:t>Q: Question 1 regarding policy compliance and edge cases?</w:t>
      </w:r>
    </w:p>
    <w:p>
      <w:pPr>
        <w:spacing w:after="240"/>
      </w:pPr>
      <w:r>
        <w:rPr>
          <w:rFonts w:ascii="Calibri" w:hAnsi="Calibri"/>
          <w:color w:val="333333"/>
          <w:sz w:val="22"/>
        </w:rPr>
        <w:t>A: Answer 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2 regarding policy compliance and edge cases?</w:t>
      </w:r>
    </w:p>
    <w:p>
      <w:pPr>
        <w:spacing w:after="240"/>
      </w:pPr>
      <w:r>
        <w:rPr>
          <w:rFonts w:ascii="Calibri" w:hAnsi="Calibri"/>
          <w:color w:val="333333"/>
          <w:sz w:val="22"/>
        </w:rPr>
        <w:t>A: Answer 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3 regarding policy compliance and edge cases?</w:t>
      </w:r>
    </w:p>
    <w:p>
      <w:pPr>
        <w:spacing w:after="240"/>
      </w:pPr>
      <w:r>
        <w:rPr>
          <w:rFonts w:ascii="Calibri" w:hAnsi="Calibri"/>
          <w:color w:val="333333"/>
          <w:sz w:val="22"/>
        </w:rPr>
        <w:t>A: Answer 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4 regarding policy compliance and edge cases?</w:t>
      </w:r>
    </w:p>
    <w:p>
      <w:pPr>
        <w:spacing w:after="240"/>
      </w:pPr>
      <w:r>
        <w:rPr>
          <w:rFonts w:ascii="Calibri" w:hAnsi="Calibri"/>
          <w:color w:val="333333"/>
          <w:sz w:val="22"/>
        </w:rPr>
        <w:t>A: Answer 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5 regarding policy compliance and edge cases?</w:t>
      </w:r>
    </w:p>
    <w:p>
      <w:pPr>
        <w:spacing w:after="240"/>
      </w:pPr>
      <w:r>
        <w:rPr>
          <w:rFonts w:ascii="Calibri" w:hAnsi="Calibri"/>
          <w:color w:val="333333"/>
          <w:sz w:val="22"/>
        </w:rPr>
        <w:t>A: Answer 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6 regarding policy compliance and edge cases?</w:t>
      </w:r>
    </w:p>
    <w:p>
      <w:pPr>
        <w:spacing w:after="240"/>
      </w:pPr>
      <w:r>
        <w:rPr>
          <w:rFonts w:ascii="Calibri" w:hAnsi="Calibri"/>
          <w:color w:val="333333"/>
          <w:sz w:val="22"/>
        </w:rPr>
        <w:t>A: Answer 6: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7 regarding policy compliance and edge cases?</w:t>
      </w:r>
    </w:p>
    <w:p>
      <w:pPr>
        <w:spacing w:after="240"/>
      </w:pPr>
      <w:r>
        <w:rPr>
          <w:rFonts w:ascii="Calibri" w:hAnsi="Calibri"/>
          <w:color w:val="333333"/>
          <w:sz w:val="22"/>
        </w:rPr>
        <w:t>A: Answer 7: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8 regarding policy compliance and edge cases?</w:t>
      </w:r>
    </w:p>
    <w:p>
      <w:pPr>
        <w:spacing w:after="240"/>
      </w:pPr>
      <w:r>
        <w:rPr>
          <w:rFonts w:ascii="Calibri" w:hAnsi="Calibri"/>
          <w:color w:val="333333"/>
          <w:sz w:val="22"/>
        </w:rPr>
        <w:t>A: Answer 8: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9 regarding policy compliance and edge cases?</w:t>
      </w:r>
    </w:p>
    <w:p>
      <w:pPr>
        <w:spacing w:after="240"/>
      </w:pPr>
      <w:r>
        <w:rPr>
          <w:rFonts w:ascii="Calibri" w:hAnsi="Calibri"/>
          <w:color w:val="333333"/>
          <w:sz w:val="22"/>
        </w:rPr>
        <w:t>A: Answer 9: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10 regarding policy compliance and edge cases?</w:t>
      </w:r>
    </w:p>
    <w:p>
      <w:pPr>
        <w:spacing w:after="240"/>
      </w:pPr>
      <w:r>
        <w:rPr>
          <w:rFonts w:ascii="Calibri" w:hAnsi="Calibri"/>
          <w:color w:val="333333"/>
          <w:sz w:val="22"/>
        </w:rPr>
        <w:t>A: Answer 10: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11 regarding policy compliance and edge cases?</w:t>
      </w:r>
    </w:p>
    <w:p>
      <w:pPr>
        <w:spacing w:after="240"/>
      </w:pPr>
      <w:r>
        <w:rPr>
          <w:rFonts w:ascii="Calibri" w:hAnsi="Calibri"/>
          <w:color w:val="333333"/>
          <w:sz w:val="22"/>
        </w:rPr>
        <w:t>A: Answer 11: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12 regarding policy compliance and edge cases?</w:t>
      </w:r>
    </w:p>
    <w:p>
      <w:pPr>
        <w:spacing w:after="240"/>
      </w:pPr>
      <w:r>
        <w:rPr>
          <w:rFonts w:ascii="Calibri" w:hAnsi="Calibri"/>
          <w:color w:val="333333"/>
          <w:sz w:val="22"/>
        </w:rPr>
        <w:t>A: Answer 12: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13 regarding policy compliance and edge cases?</w:t>
      </w:r>
    </w:p>
    <w:p>
      <w:pPr>
        <w:spacing w:after="240"/>
      </w:pPr>
      <w:r>
        <w:rPr>
          <w:rFonts w:ascii="Calibri" w:hAnsi="Calibri"/>
          <w:color w:val="333333"/>
          <w:sz w:val="22"/>
        </w:rPr>
        <w:t>A: Answer 13: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14 regarding policy compliance and edge cases?</w:t>
      </w:r>
    </w:p>
    <w:p>
      <w:pPr>
        <w:spacing w:after="240"/>
      </w:pPr>
      <w:r>
        <w:rPr>
          <w:rFonts w:ascii="Calibri" w:hAnsi="Calibri"/>
          <w:color w:val="333333"/>
          <w:sz w:val="22"/>
        </w:rPr>
        <w:t>A: Answer 14: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15 regarding policy compliance and edge cases?</w:t>
      </w:r>
    </w:p>
    <w:p>
      <w:pPr>
        <w:spacing w:after="240"/>
      </w:pPr>
      <w:r>
        <w:rPr>
          <w:rFonts w:ascii="Calibri" w:hAnsi="Calibri"/>
          <w:color w:val="333333"/>
          <w:sz w:val="22"/>
        </w:rPr>
        <w:t>A: Answer 15: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16 regarding policy compliance and edge cases?</w:t>
      </w:r>
    </w:p>
    <w:p>
      <w:pPr>
        <w:spacing w:after="240"/>
      </w:pPr>
      <w:r>
        <w:rPr>
          <w:rFonts w:ascii="Calibri" w:hAnsi="Calibri"/>
          <w:color w:val="333333"/>
          <w:sz w:val="22"/>
        </w:rPr>
        <w:t>A: Answer 16: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17 regarding policy compliance and edge cases?</w:t>
      </w:r>
    </w:p>
    <w:p>
      <w:pPr>
        <w:spacing w:after="240"/>
      </w:pPr>
      <w:r>
        <w:rPr>
          <w:rFonts w:ascii="Calibri" w:hAnsi="Calibri"/>
          <w:color w:val="333333"/>
          <w:sz w:val="22"/>
        </w:rPr>
        <w:t>A: Answer 17: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18 regarding policy compliance and edge cases?</w:t>
      </w:r>
    </w:p>
    <w:p>
      <w:pPr>
        <w:spacing w:after="240"/>
      </w:pPr>
      <w:r>
        <w:rPr>
          <w:rFonts w:ascii="Calibri" w:hAnsi="Calibri"/>
          <w:color w:val="333333"/>
          <w:sz w:val="22"/>
        </w:rPr>
        <w:t>A: Answer 18: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19 regarding policy compliance and edge cases?</w:t>
      </w:r>
    </w:p>
    <w:p>
      <w:pPr>
        <w:spacing w:after="240"/>
      </w:pPr>
      <w:r>
        <w:rPr>
          <w:rFonts w:ascii="Calibri" w:hAnsi="Calibri"/>
          <w:color w:val="333333"/>
          <w:sz w:val="22"/>
        </w:rPr>
        <w:t>A: Answer 19: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20 regarding policy compliance and edge cases?</w:t>
      </w:r>
    </w:p>
    <w:p>
      <w:pPr>
        <w:spacing w:after="240"/>
      </w:pPr>
      <w:r>
        <w:rPr>
          <w:rFonts w:ascii="Calibri" w:hAnsi="Calibri"/>
          <w:color w:val="333333"/>
          <w:sz w:val="22"/>
        </w:rPr>
        <w:t>A: Answer 20: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Legal Team</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Jul 2025</w:t>
            </w:r>
          </w:p>
        </w:tc>
        <w:tc>
          <w:tcPr>
            <w:tcW w:type="dxa" w:w="2160"/>
            <w:shd w:fill="F2F6FA" w:val="clear"/>
          </w:tcPr>
          <w:p>
            <w:r>
              <w:rPr>
                <w:rFonts w:ascii="Calibri" w:hAnsi="Calibri"/>
                <w:color w:val="333333"/>
                <w:sz w:val="18"/>
              </w:rPr>
              <w:t>CLO</w:t>
            </w:r>
          </w:p>
        </w:tc>
        <w:tc>
          <w:tcPr>
            <w:tcW w:type="dxa" w:w="4320"/>
            <w:shd w:fill="F2F6FA" w:val="clear"/>
          </w:tcPr>
          <w:p>
            <w:r>
              <w:rPr>
                <w:rFonts w:ascii="Calibri" w:hAnsi="Calibri"/>
                <w:color w:val="333333"/>
                <w:sz w:val="18"/>
              </w:rPr>
              <w:t>Updates for new regional laws</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Jan 2026</w:t>
            </w:r>
          </w:p>
        </w:tc>
        <w:tc>
          <w:tcPr>
            <w:tcW w:type="dxa" w:w="2160"/>
          </w:tcPr>
          <w:p>
            <w:r>
              <w:rPr>
                <w:rFonts w:ascii="Calibri" w:hAnsi="Calibri"/>
                <w:color w:val="333333"/>
                <w:sz w:val="18"/>
              </w:rPr>
              <w:t>CLO</w:t>
            </w:r>
          </w:p>
        </w:tc>
        <w:tc>
          <w:tcPr>
            <w:tcW w:type="dxa" w:w="4320"/>
          </w:tcPr>
          <w:p>
            <w:r>
              <w:rPr>
                <w:rFonts w:ascii="Calibri" w:hAnsi="Calibri"/>
                <w:color w:val="333333"/>
                <w:sz w:val="18"/>
              </w:rPr>
              <w:t>Major overhaul to enterprise foundational standard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DATA-001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