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Data Retention and Deletion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DATA-002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March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DATA-002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Data Retention and Deletion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2.1</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March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March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Vistara employees and contractors handling enterprise data.</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2.0 (01 September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DATA-001, DATA-003, DATA-006, DATA-008, SEC-005, HR-006, FIN-008,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This policy defines the retention periods for all classes of data held by Vistara Global Systems and the methods for their secure destruction. It ensures compliance with legal, regulatory, and business requirements while avoiding the risks and costs associated with indefinite data storage.</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2. Comprehensive Retention Schedule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fill="1B3A5C" w:val="clear"/>
          </w:tcPr>
          <w:p>
            <w:pPr>
              <w:jc w:val="center"/>
            </w:pPr>
            <w:r>
              <w:rPr>
                <w:rFonts w:ascii="Calibri" w:hAnsi="Calibri"/>
                <w:b/>
                <w:color w:val="FFFFFF"/>
                <w:sz w:val="20"/>
              </w:rPr>
              <w:t>Data Type</w:t>
            </w:r>
          </w:p>
        </w:tc>
        <w:tc>
          <w:tcPr>
            <w:tcW w:type="dxa" w:w="2880"/>
            <w:shd w:fill="1B3A5C" w:val="clear"/>
          </w:tcPr>
          <w:p>
            <w:pPr>
              <w:jc w:val="center"/>
            </w:pPr>
            <w:r>
              <w:rPr>
                <w:rFonts w:ascii="Calibri" w:hAnsi="Calibri"/>
                <w:b/>
                <w:color w:val="FFFFFF"/>
                <w:sz w:val="20"/>
              </w:rPr>
              <w:t>Retention Period</w:t>
            </w:r>
          </w:p>
        </w:tc>
        <w:tc>
          <w:tcPr>
            <w:tcW w:type="dxa" w:w="2880"/>
            <w:shd w:fill="1B3A5C" w:val="clear"/>
          </w:tcPr>
          <w:p>
            <w:pPr>
              <w:jc w:val="center"/>
            </w:pPr>
            <w:r>
              <w:rPr>
                <w:rFonts w:ascii="Calibri" w:hAnsi="Calibri"/>
                <w:b/>
                <w:color w:val="FFFFFF"/>
                <w:sz w:val="20"/>
              </w:rPr>
              <w:t>Rationale / Regulation</w:t>
            </w:r>
          </w:p>
        </w:tc>
        <w:tc>
          <w:tcPr>
            <w:tcW w:type="dxa" w:w="1440"/>
            <w:shd w:fill="1B3A5C" w:val="clear"/>
          </w:tcPr>
          <w:p>
            <w:pPr>
              <w:jc w:val="center"/>
            </w:pPr>
            <w:r>
              <w:rPr>
                <w:rFonts w:ascii="Calibri" w:hAnsi="Calibri"/>
                <w:b/>
                <w:color w:val="FFFFFF"/>
                <w:sz w:val="20"/>
              </w:rPr>
              <w:t>Owner</w:t>
            </w:r>
          </w:p>
        </w:tc>
      </w:tr>
      <w:tr>
        <w:tc>
          <w:tcPr>
            <w:tcW w:type="dxa" w:w="2160"/>
          </w:tcPr>
          <w:p>
            <w:r>
              <w:rPr>
                <w:rFonts w:ascii="Calibri" w:hAnsi="Calibri"/>
                <w:color w:val="333333"/>
                <w:sz w:val="18"/>
              </w:rPr>
              <w:t>Employee Records</w:t>
            </w:r>
          </w:p>
        </w:tc>
        <w:tc>
          <w:tcPr>
            <w:tcW w:type="dxa" w:w="2880"/>
          </w:tcPr>
          <w:p>
            <w:r>
              <w:rPr>
                <w:rFonts w:ascii="Calibri" w:hAnsi="Calibri"/>
                <w:color w:val="333333"/>
                <w:sz w:val="18"/>
              </w:rPr>
              <w:t>7 years post-separation</w:t>
            </w:r>
          </w:p>
        </w:tc>
        <w:tc>
          <w:tcPr>
            <w:tcW w:type="dxa" w:w="2880"/>
          </w:tcPr>
          <w:p>
            <w:r>
              <w:rPr>
                <w:rFonts w:ascii="Calibri" w:hAnsi="Calibri"/>
                <w:color w:val="333333"/>
                <w:sz w:val="18"/>
              </w:rPr>
              <w:t>Labor laws, tax regulations</w:t>
            </w:r>
          </w:p>
        </w:tc>
        <w:tc>
          <w:tcPr>
            <w:tcW w:type="dxa" w:w="1440"/>
          </w:tcPr>
          <w:p>
            <w:r>
              <w:rPr>
                <w:rFonts w:ascii="Calibri" w:hAnsi="Calibri"/>
                <w:color w:val="333333"/>
                <w:sz w:val="18"/>
              </w:rPr>
              <w:t>HR</w:t>
            </w:r>
          </w:p>
        </w:tc>
      </w:tr>
      <w:tr>
        <w:tc>
          <w:tcPr>
            <w:tcW w:type="dxa" w:w="2160"/>
            <w:shd w:fill="F2F6FA" w:val="clear"/>
          </w:tcPr>
          <w:p>
            <w:r>
              <w:rPr>
                <w:rFonts w:ascii="Calibri" w:hAnsi="Calibri"/>
                <w:color w:val="333333"/>
                <w:sz w:val="18"/>
              </w:rPr>
              <w:t>Financial Records</w:t>
            </w:r>
          </w:p>
        </w:tc>
        <w:tc>
          <w:tcPr>
            <w:tcW w:type="dxa" w:w="2880"/>
            <w:shd w:fill="F2F6FA" w:val="clear"/>
          </w:tcPr>
          <w:p>
            <w:r>
              <w:rPr>
                <w:rFonts w:ascii="Calibri" w:hAnsi="Calibri"/>
                <w:color w:val="333333"/>
                <w:sz w:val="18"/>
              </w:rPr>
              <w:t>8 years</w:t>
            </w:r>
          </w:p>
        </w:tc>
        <w:tc>
          <w:tcPr>
            <w:tcW w:type="dxa" w:w="2880"/>
            <w:shd w:fill="F2F6FA" w:val="clear"/>
          </w:tcPr>
          <w:p>
            <w:r>
              <w:rPr>
                <w:rFonts w:ascii="Calibri" w:hAnsi="Calibri"/>
                <w:color w:val="333333"/>
                <w:sz w:val="18"/>
              </w:rPr>
              <w:t>Companies Act, Tax Authorities</w:t>
            </w:r>
          </w:p>
        </w:tc>
        <w:tc>
          <w:tcPr>
            <w:tcW w:type="dxa" w:w="1440"/>
            <w:shd w:fill="F2F6FA" w:val="clear"/>
          </w:tcPr>
          <w:p>
            <w:r>
              <w:rPr>
                <w:rFonts w:ascii="Calibri" w:hAnsi="Calibri"/>
                <w:color w:val="333333"/>
                <w:sz w:val="18"/>
              </w:rPr>
              <w:t>Finance</w:t>
            </w:r>
          </w:p>
        </w:tc>
      </w:tr>
      <w:tr>
        <w:tc>
          <w:tcPr>
            <w:tcW w:type="dxa" w:w="2160"/>
          </w:tcPr>
          <w:p>
            <w:r>
              <w:rPr>
                <w:rFonts w:ascii="Calibri" w:hAnsi="Calibri"/>
                <w:color w:val="333333"/>
                <w:sz w:val="18"/>
              </w:rPr>
              <w:t>Tax Records</w:t>
            </w:r>
          </w:p>
        </w:tc>
        <w:tc>
          <w:tcPr>
            <w:tcW w:type="dxa" w:w="2880"/>
          </w:tcPr>
          <w:p>
            <w:r>
              <w:rPr>
                <w:rFonts w:ascii="Calibri" w:hAnsi="Calibri"/>
                <w:color w:val="333333"/>
                <w:sz w:val="18"/>
              </w:rPr>
              <w:t>8 years</w:t>
            </w:r>
          </w:p>
        </w:tc>
        <w:tc>
          <w:tcPr>
            <w:tcW w:type="dxa" w:w="2880"/>
          </w:tcPr>
          <w:p>
            <w:r>
              <w:rPr>
                <w:rFonts w:ascii="Calibri" w:hAnsi="Calibri"/>
                <w:color w:val="333333"/>
                <w:sz w:val="18"/>
              </w:rPr>
              <w:t>Income Tax Authorities</w:t>
            </w:r>
          </w:p>
        </w:tc>
        <w:tc>
          <w:tcPr>
            <w:tcW w:type="dxa" w:w="1440"/>
          </w:tcPr>
          <w:p>
            <w:r>
              <w:rPr>
                <w:rFonts w:ascii="Calibri" w:hAnsi="Calibri"/>
                <w:color w:val="333333"/>
                <w:sz w:val="18"/>
              </w:rPr>
              <w:t>Finance</w:t>
            </w:r>
          </w:p>
        </w:tc>
      </w:tr>
      <w:tr>
        <w:tc>
          <w:tcPr>
            <w:tcW w:type="dxa" w:w="2160"/>
            <w:shd w:fill="F2F6FA" w:val="clear"/>
          </w:tcPr>
          <w:p>
            <w:r>
              <w:rPr>
                <w:rFonts w:ascii="Calibri" w:hAnsi="Calibri"/>
                <w:color w:val="333333"/>
                <w:sz w:val="18"/>
              </w:rPr>
              <w:t>Contracts</w:t>
            </w:r>
          </w:p>
        </w:tc>
        <w:tc>
          <w:tcPr>
            <w:tcW w:type="dxa" w:w="2880"/>
            <w:shd w:fill="F2F6FA" w:val="clear"/>
          </w:tcPr>
          <w:p>
            <w:r>
              <w:rPr>
                <w:rFonts w:ascii="Calibri" w:hAnsi="Calibri"/>
                <w:color w:val="333333"/>
                <w:sz w:val="18"/>
              </w:rPr>
              <w:t>7 years post-expiry</w:t>
            </w:r>
          </w:p>
        </w:tc>
        <w:tc>
          <w:tcPr>
            <w:tcW w:type="dxa" w:w="2880"/>
            <w:shd w:fill="F2F6FA" w:val="clear"/>
          </w:tcPr>
          <w:p>
            <w:r>
              <w:rPr>
                <w:rFonts w:ascii="Calibri" w:hAnsi="Calibri"/>
                <w:color w:val="333333"/>
                <w:sz w:val="18"/>
              </w:rPr>
              <w:t>Limitation periods for disputes</w:t>
            </w:r>
          </w:p>
        </w:tc>
        <w:tc>
          <w:tcPr>
            <w:tcW w:type="dxa" w:w="1440"/>
            <w:shd w:fill="F2F6FA" w:val="clear"/>
          </w:tcPr>
          <w:p>
            <w:r>
              <w:rPr>
                <w:rFonts w:ascii="Calibri" w:hAnsi="Calibri"/>
                <w:color w:val="333333"/>
                <w:sz w:val="18"/>
              </w:rPr>
              <w:t>Legal</w:t>
            </w:r>
          </w:p>
        </w:tc>
      </w:tr>
      <w:tr>
        <w:tc>
          <w:tcPr>
            <w:tcW w:type="dxa" w:w="2160"/>
          </w:tcPr>
          <w:p>
            <w:r>
              <w:rPr>
                <w:rFonts w:ascii="Calibri" w:hAnsi="Calibri"/>
                <w:color w:val="333333"/>
                <w:sz w:val="18"/>
              </w:rPr>
              <w:t>Customer Data</w:t>
            </w:r>
          </w:p>
        </w:tc>
        <w:tc>
          <w:tcPr>
            <w:tcW w:type="dxa" w:w="2880"/>
          </w:tcPr>
          <w:p>
            <w:r>
              <w:rPr>
                <w:rFonts w:ascii="Calibri" w:hAnsi="Calibri"/>
                <w:color w:val="333333"/>
                <w:sz w:val="18"/>
              </w:rPr>
              <w:t>Duration of contract + 3 years</w:t>
            </w:r>
          </w:p>
        </w:tc>
        <w:tc>
          <w:tcPr>
            <w:tcW w:type="dxa" w:w="2880"/>
          </w:tcPr>
          <w:p>
            <w:r>
              <w:rPr>
                <w:rFonts w:ascii="Calibri" w:hAnsi="Calibri"/>
                <w:color w:val="333333"/>
                <w:sz w:val="18"/>
              </w:rPr>
              <w:t>Contractual obligations, support</w:t>
            </w:r>
          </w:p>
        </w:tc>
        <w:tc>
          <w:tcPr>
            <w:tcW w:type="dxa" w:w="1440"/>
          </w:tcPr>
          <w:p>
            <w:r>
              <w:rPr>
                <w:rFonts w:ascii="Calibri" w:hAnsi="Calibri"/>
                <w:color w:val="333333"/>
                <w:sz w:val="18"/>
              </w:rPr>
              <w:t>Operations</w:t>
            </w:r>
          </w:p>
        </w:tc>
      </w:tr>
      <w:tr>
        <w:tc>
          <w:tcPr>
            <w:tcW w:type="dxa" w:w="2160"/>
            <w:shd w:fill="F2F6FA" w:val="clear"/>
          </w:tcPr>
          <w:p>
            <w:r>
              <w:rPr>
                <w:rFonts w:ascii="Calibri" w:hAnsi="Calibri"/>
                <w:color w:val="333333"/>
                <w:sz w:val="18"/>
              </w:rPr>
              <w:t>Source Code</w:t>
            </w:r>
          </w:p>
        </w:tc>
        <w:tc>
          <w:tcPr>
            <w:tcW w:type="dxa" w:w="2880"/>
            <w:shd w:fill="F2F6FA" w:val="clear"/>
          </w:tcPr>
          <w:p>
            <w:r>
              <w:rPr>
                <w:rFonts w:ascii="Calibri" w:hAnsi="Calibri"/>
                <w:color w:val="333333"/>
                <w:sz w:val="18"/>
              </w:rPr>
              <w:t>Indefinite</w:t>
            </w:r>
          </w:p>
        </w:tc>
        <w:tc>
          <w:tcPr>
            <w:tcW w:type="dxa" w:w="2880"/>
            <w:shd w:fill="F2F6FA" w:val="clear"/>
          </w:tcPr>
          <w:p>
            <w:r>
              <w:rPr>
                <w:rFonts w:ascii="Calibri" w:hAnsi="Calibri"/>
                <w:color w:val="333333"/>
                <w:sz w:val="18"/>
              </w:rPr>
              <w:t>Core intellectual property</w:t>
            </w:r>
          </w:p>
        </w:tc>
        <w:tc>
          <w:tcPr>
            <w:tcW w:type="dxa" w:w="1440"/>
            <w:shd w:fill="F2F6FA" w:val="clear"/>
          </w:tcPr>
          <w:p>
            <w:r>
              <w:rPr>
                <w:rFonts w:ascii="Calibri" w:hAnsi="Calibri"/>
                <w:color w:val="333333"/>
                <w:sz w:val="18"/>
              </w:rPr>
              <w:t>Engineering</w:t>
            </w:r>
          </w:p>
        </w:tc>
      </w:tr>
      <w:tr>
        <w:tc>
          <w:tcPr>
            <w:tcW w:type="dxa" w:w="2160"/>
          </w:tcPr>
          <w:p>
            <w:r>
              <w:rPr>
                <w:rFonts w:ascii="Calibri" w:hAnsi="Calibri"/>
                <w:color w:val="333333"/>
                <w:sz w:val="18"/>
              </w:rPr>
              <w:t>Audit Logs</w:t>
            </w:r>
          </w:p>
        </w:tc>
        <w:tc>
          <w:tcPr>
            <w:tcW w:type="dxa" w:w="2880"/>
          </w:tcPr>
          <w:p>
            <w:r>
              <w:rPr>
                <w:rFonts w:ascii="Calibri" w:hAnsi="Calibri"/>
                <w:color w:val="333333"/>
                <w:sz w:val="18"/>
              </w:rPr>
              <w:t>3 years</w:t>
            </w:r>
          </w:p>
        </w:tc>
        <w:tc>
          <w:tcPr>
            <w:tcW w:type="dxa" w:w="2880"/>
          </w:tcPr>
          <w:p>
            <w:r>
              <w:rPr>
                <w:rFonts w:ascii="Calibri" w:hAnsi="Calibri"/>
                <w:color w:val="333333"/>
                <w:sz w:val="18"/>
              </w:rPr>
              <w:t>Compliance, incident investigation</w:t>
            </w:r>
          </w:p>
        </w:tc>
        <w:tc>
          <w:tcPr>
            <w:tcW w:type="dxa" w:w="1440"/>
          </w:tcPr>
          <w:p>
            <w:r>
              <w:rPr>
                <w:rFonts w:ascii="Calibri" w:hAnsi="Calibri"/>
                <w:color w:val="333333"/>
                <w:sz w:val="18"/>
              </w:rPr>
              <w:t>IT Security</w:t>
            </w:r>
          </w:p>
        </w:tc>
      </w:tr>
      <w:tr>
        <w:tc>
          <w:tcPr>
            <w:tcW w:type="dxa" w:w="2160"/>
            <w:shd w:fill="F2F6FA" w:val="clear"/>
          </w:tcPr>
          <w:p>
            <w:r>
              <w:rPr>
                <w:rFonts w:ascii="Calibri" w:hAnsi="Calibri"/>
                <w:color w:val="333333"/>
                <w:sz w:val="18"/>
              </w:rPr>
              <w:t>Email</w:t>
            </w:r>
          </w:p>
        </w:tc>
        <w:tc>
          <w:tcPr>
            <w:tcW w:type="dxa" w:w="2880"/>
            <w:shd w:fill="F2F6FA" w:val="clear"/>
          </w:tcPr>
          <w:p>
            <w:r>
              <w:rPr>
                <w:rFonts w:ascii="Calibri" w:hAnsi="Calibri"/>
                <w:color w:val="333333"/>
                <w:sz w:val="18"/>
              </w:rPr>
              <w:t>7 years</w:t>
            </w:r>
          </w:p>
        </w:tc>
        <w:tc>
          <w:tcPr>
            <w:tcW w:type="dxa" w:w="2880"/>
            <w:shd w:fill="F2F6FA" w:val="clear"/>
          </w:tcPr>
          <w:p>
            <w:r>
              <w:rPr>
                <w:rFonts w:ascii="Calibri" w:hAnsi="Calibri"/>
                <w:color w:val="333333"/>
                <w:sz w:val="18"/>
              </w:rPr>
              <w:t>General business record keeping</w:t>
            </w:r>
          </w:p>
        </w:tc>
        <w:tc>
          <w:tcPr>
            <w:tcW w:type="dxa" w:w="1440"/>
            <w:shd w:fill="F2F6FA" w:val="clear"/>
          </w:tcPr>
          <w:p>
            <w:r>
              <w:rPr>
                <w:rFonts w:ascii="Calibri" w:hAnsi="Calibri"/>
                <w:color w:val="333333"/>
                <w:sz w:val="18"/>
              </w:rPr>
              <w:t>IT</w:t>
            </w:r>
          </w:p>
        </w:tc>
      </w:tr>
      <w:tr>
        <w:tc>
          <w:tcPr>
            <w:tcW w:type="dxa" w:w="2160"/>
          </w:tcPr>
          <w:p>
            <w:r>
              <w:rPr>
                <w:rFonts w:ascii="Calibri" w:hAnsi="Calibri"/>
                <w:color w:val="333333"/>
                <w:sz w:val="18"/>
              </w:rPr>
              <w:t>Security Logs</w:t>
            </w:r>
          </w:p>
        </w:tc>
        <w:tc>
          <w:tcPr>
            <w:tcW w:type="dxa" w:w="2880"/>
          </w:tcPr>
          <w:p>
            <w:r>
              <w:rPr>
                <w:rFonts w:ascii="Calibri" w:hAnsi="Calibri"/>
                <w:color w:val="333333"/>
                <w:sz w:val="18"/>
              </w:rPr>
              <w:t>12 months</w:t>
            </w:r>
          </w:p>
        </w:tc>
        <w:tc>
          <w:tcPr>
            <w:tcW w:type="dxa" w:w="2880"/>
          </w:tcPr>
          <w:p>
            <w:r>
              <w:rPr>
                <w:rFonts w:ascii="Calibri" w:hAnsi="Calibri"/>
                <w:color w:val="333333"/>
                <w:sz w:val="18"/>
              </w:rPr>
              <w:t>Threat analysis, SIEM requirements</w:t>
            </w:r>
          </w:p>
        </w:tc>
        <w:tc>
          <w:tcPr>
            <w:tcW w:type="dxa" w:w="1440"/>
          </w:tcPr>
          <w:p>
            <w:r>
              <w:rPr>
                <w:rFonts w:ascii="Calibri" w:hAnsi="Calibri"/>
                <w:color w:val="333333"/>
                <w:sz w:val="18"/>
              </w:rPr>
              <w:t>CISO</w:t>
            </w:r>
          </w:p>
        </w:tc>
      </w:tr>
      <w:tr>
        <w:tc>
          <w:tcPr>
            <w:tcW w:type="dxa" w:w="2160"/>
            <w:shd w:fill="F2F6FA" w:val="clear"/>
          </w:tcPr>
          <w:p>
            <w:r>
              <w:rPr>
                <w:rFonts w:ascii="Calibri" w:hAnsi="Calibri"/>
                <w:color w:val="333333"/>
                <w:sz w:val="18"/>
              </w:rPr>
              <w:t>CCTV Footage</w:t>
            </w:r>
          </w:p>
        </w:tc>
        <w:tc>
          <w:tcPr>
            <w:tcW w:type="dxa" w:w="2880"/>
            <w:shd w:fill="F2F6FA" w:val="clear"/>
          </w:tcPr>
          <w:p>
            <w:r>
              <w:rPr>
                <w:rFonts w:ascii="Calibri" w:hAnsi="Calibri"/>
                <w:color w:val="333333"/>
                <w:sz w:val="18"/>
              </w:rPr>
              <w:t>90 days</w:t>
            </w:r>
          </w:p>
        </w:tc>
        <w:tc>
          <w:tcPr>
            <w:tcW w:type="dxa" w:w="2880"/>
            <w:shd w:fill="F2F6FA" w:val="clear"/>
          </w:tcPr>
          <w:p>
            <w:r>
              <w:rPr>
                <w:rFonts w:ascii="Calibri" w:hAnsi="Calibri"/>
                <w:color w:val="333333"/>
                <w:sz w:val="18"/>
              </w:rPr>
              <w:t>Physical security</w:t>
            </w:r>
          </w:p>
        </w:tc>
        <w:tc>
          <w:tcPr>
            <w:tcW w:type="dxa" w:w="1440"/>
            <w:shd w:fill="F2F6FA" w:val="clear"/>
          </w:tcPr>
          <w:p>
            <w:r>
              <w:rPr>
                <w:rFonts w:ascii="Calibri" w:hAnsi="Calibri"/>
                <w:color w:val="333333"/>
                <w:sz w:val="18"/>
              </w:rPr>
              <w:t>Facilities</w:t>
            </w:r>
          </w:p>
        </w:tc>
      </w:tr>
      <w:tr>
        <w:tc>
          <w:tcPr>
            <w:tcW w:type="dxa" w:w="2160"/>
          </w:tcPr>
          <w:p>
            <w:r>
              <w:rPr>
                <w:rFonts w:ascii="Calibri" w:hAnsi="Calibri"/>
                <w:color w:val="333333"/>
                <w:sz w:val="18"/>
              </w:rPr>
              <w:t>Recruitment Records</w:t>
            </w:r>
          </w:p>
        </w:tc>
        <w:tc>
          <w:tcPr>
            <w:tcW w:type="dxa" w:w="2880"/>
          </w:tcPr>
          <w:p>
            <w:r>
              <w:rPr>
                <w:rFonts w:ascii="Calibri" w:hAnsi="Calibri"/>
                <w:color w:val="333333"/>
                <w:sz w:val="18"/>
              </w:rPr>
              <w:t>2 years</w:t>
            </w:r>
          </w:p>
        </w:tc>
        <w:tc>
          <w:tcPr>
            <w:tcW w:type="dxa" w:w="2880"/>
          </w:tcPr>
          <w:p>
            <w:r>
              <w:rPr>
                <w:rFonts w:ascii="Calibri" w:hAnsi="Calibri"/>
                <w:color w:val="333333"/>
                <w:sz w:val="18"/>
              </w:rPr>
              <w:t>Candidate tracking, disputes</w:t>
            </w:r>
          </w:p>
        </w:tc>
        <w:tc>
          <w:tcPr>
            <w:tcW w:type="dxa" w:w="1440"/>
          </w:tcPr>
          <w:p>
            <w:r>
              <w:rPr>
                <w:rFonts w:ascii="Calibri" w:hAnsi="Calibri"/>
                <w:color w:val="333333"/>
                <w:sz w:val="18"/>
              </w:rPr>
              <w:t>HR</w:t>
            </w:r>
          </w:p>
        </w:tc>
      </w:tr>
      <w:tr>
        <w:tc>
          <w:tcPr>
            <w:tcW w:type="dxa" w:w="2160"/>
            <w:shd w:fill="F2F6FA" w:val="clear"/>
          </w:tcPr>
          <w:p>
            <w:r>
              <w:rPr>
                <w:rFonts w:ascii="Calibri" w:hAnsi="Calibri"/>
                <w:color w:val="333333"/>
                <w:sz w:val="18"/>
              </w:rPr>
              <w:t>Training Records</w:t>
            </w:r>
          </w:p>
        </w:tc>
        <w:tc>
          <w:tcPr>
            <w:tcW w:type="dxa" w:w="2880"/>
            <w:shd w:fill="F2F6FA" w:val="clear"/>
          </w:tcPr>
          <w:p>
            <w:r>
              <w:rPr>
                <w:rFonts w:ascii="Calibri" w:hAnsi="Calibri"/>
                <w:color w:val="333333"/>
                <w:sz w:val="18"/>
              </w:rPr>
              <w:t>5 years</w:t>
            </w:r>
          </w:p>
        </w:tc>
        <w:tc>
          <w:tcPr>
            <w:tcW w:type="dxa" w:w="2880"/>
            <w:shd w:fill="F2F6FA" w:val="clear"/>
          </w:tcPr>
          <w:p>
            <w:r>
              <w:rPr>
                <w:rFonts w:ascii="Calibri" w:hAnsi="Calibri"/>
                <w:color w:val="333333"/>
                <w:sz w:val="18"/>
              </w:rPr>
              <w:t>Compliance certifications</w:t>
            </w:r>
          </w:p>
        </w:tc>
        <w:tc>
          <w:tcPr>
            <w:tcW w:type="dxa" w:w="1440"/>
            <w:shd w:fill="F2F6FA" w:val="clear"/>
          </w:tcPr>
          <w:p>
            <w:r>
              <w:rPr>
                <w:rFonts w:ascii="Calibri" w:hAnsi="Calibri"/>
                <w:color w:val="333333"/>
                <w:sz w:val="18"/>
              </w:rPr>
              <w:t>HR</w:t>
            </w:r>
          </w:p>
        </w:tc>
      </w:tr>
      <w:tr>
        <w:tc>
          <w:tcPr>
            <w:tcW w:type="dxa" w:w="2160"/>
          </w:tcPr>
          <w:p>
            <w:r>
              <w:rPr>
                <w:rFonts w:ascii="Calibri" w:hAnsi="Calibri"/>
                <w:color w:val="333333"/>
                <w:sz w:val="18"/>
              </w:rPr>
              <w:t>Marketing Data</w:t>
            </w:r>
          </w:p>
        </w:tc>
        <w:tc>
          <w:tcPr>
            <w:tcW w:type="dxa" w:w="2880"/>
          </w:tcPr>
          <w:p>
            <w:r>
              <w:rPr>
                <w:rFonts w:ascii="Calibri" w:hAnsi="Calibri"/>
                <w:color w:val="333333"/>
                <w:sz w:val="18"/>
              </w:rPr>
              <w:t>Until consent withdrawal</w:t>
            </w:r>
          </w:p>
        </w:tc>
        <w:tc>
          <w:tcPr>
            <w:tcW w:type="dxa" w:w="2880"/>
          </w:tcPr>
          <w:p>
            <w:r>
              <w:rPr>
                <w:rFonts w:ascii="Calibri" w:hAnsi="Calibri"/>
                <w:color w:val="333333"/>
                <w:sz w:val="18"/>
              </w:rPr>
              <w:t>Privacy regulations</w:t>
            </w:r>
          </w:p>
        </w:tc>
        <w:tc>
          <w:tcPr>
            <w:tcW w:type="dxa" w:w="1440"/>
          </w:tcPr>
          <w:p>
            <w:r>
              <w:rPr>
                <w:rFonts w:ascii="Calibri" w:hAnsi="Calibri"/>
                <w:color w:val="333333"/>
                <w:sz w:val="18"/>
              </w:rPr>
              <w:t>Marketing</w:t>
            </w:r>
          </w:p>
        </w:tc>
      </w:tr>
    </w:tbl>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5.1. Detailed Standard Operating Procedure - Phase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5.2. Detailed Standard Operating Procedure - Phase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5.3. Detailed Standard Operating Procedure - Phase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5.4. Detailed Standard Operating Procedure - Phase 4</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5.5. Detailed Standard Operating Procedure - Phase 5</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5.6. Detailed Standard Operating Procedure - Phase 6</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5. Scenarios</w:t>
      </w:r>
    </w:p>
    <w:p>
      <w:pPr>
        <w:pStyle w:val="Heading3"/>
      </w:pPr>
      <w:r>
        <w:t>Scenario 1: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2: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3: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4: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5: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6: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7: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8: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9: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10: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11: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12: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1"/>
      </w:pPr>
      <w:r>
        <w:t>6. Frequently Asked Questions</w:t>
      </w:r>
    </w:p>
    <w:p>
      <w:r>
        <w:rPr>
          <w:rFonts w:ascii="Calibri" w:hAnsi="Calibri"/>
          <w:b/>
          <w:color w:val="1B3A5C"/>
          <w:sz w:val="22"/>
        </w:rPr>
        <w:t>Q: Question 1 regarding policy compliance and edge cases?</w:t>
      </w:r>
    </w:p>
    <w:p>
      <w:pPr>
        <w:spacing w:after="240"/>
      </w:pPr>
      <w:r>
        <w:rPr>
          <w:rFonts w:ascii="Calibri" w:hAnsi="Calibri"/>
          <w:color w:val="333333"/>
          <w:sz w:val="22"/>
        </w:rPr>
        <w:t>A: Answer 1: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2 regarding policy compliance and edge cases?</w:t>
      </w:r>
    </w:p>
    <w:p>
      <w:pPr>
        <w:spacing w:after="240"/>
      </w:pPr>
      <w:r>
        <w:rPr>
          <w:rFonts w:ascii="Calibri" w:hAnsi="Calibri"/>
          <w:color w:val="333333"/>
          <w:sz w:val="22"/>
        </w:rPr>
        <w:t>A: Answer 2: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3 regarding policy compliance and edge cases?</w:t>
      </w:r>
    </w:p>
    <w:p>
      <w:pPr>
        <w:spacing w:after="240"/>
      </w:pPr>
      <w:r>
        <w:rPr>
          <w:rFonts w:ascii="Calibri" w:hAnsi="Calibri"/>
          <w:color w:val="333333"/>
          <w:sz w:val="22"/>
        </w:rPr>
        <w:t>A: Answer 3: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4 regarding policy compliance and edge cases?</w:t>
      </w:r>
    </w:p>
    <w:p>
      <w:pPr>
        <w:spacing w:after="240"/>
      </w:pPr>
      <w:r>
        <w:rPr>
          <w:rFonts w:ascii="Calibri" w:hAnsi="Calibri"/>
          <w:color w:val="333333"/>
          <w:sz w:val="22"/>
        </w:rPr>
        <w:t>A: Answer 4: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5 regarding policy compliance and edge cases?</w:t>
      </w:r>
    </w:p>
    <w:p>
      <w:pPr>
        <w:spacing w:after="240"/>
      </w:pPr>
      <w:r>
        <w:rPr>
          <w:rFonts w:ascii="Calibri" w:hAnsi="Calibri"/>
          <w:color w:val="333333"/>
          <w:sz w:val="22"/>
        </w:rPr>
        <w:t>A: Answer 5: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6 regarding policy compliance and edge cases?</w:t>
      </w:r>
    </w:p>
    <w:p>
      <w:pPr>
        <w:spacing w:after="240"/>
      </w:pPr>
      <w:r>
        <w:rPr>
          <w:rFonts w:ascii="Calibri" w:hAnsi="Calibri"/>
          <w:color w:val="333333"/>
          <w:sz w:val="22"/>
        </w:rPr>
        <w:t>A: Answer 6: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7 regarding policy compliance and edge cases?</w:t>
      </w:r>
    </w:p>
    <w:p>
      <w:pPr>
        <w:spacing w:after="240"/>
      </w:pPr>
      <w:r>
        <w:rPr>
          <w:rFonts w:ascii="Calibri" w:hAnsi="Calibri"/>
          <w:color w:val="333333"/>
          <w:sz w:val="22"/>
        </w:rPr>
        <w:t>A: Answer 7: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8 regarding policy compliance and edge cases?</w:t>
      </w:r>
    </w:p>
    <w:p>
      <w:pPr>
        <w:spacing w:after="240"/>
      </w:pPr>
      <w:r>
        <w:rPr>
          <w:rFonts w:ascii="Calibri" w:hAnsi="Calibri"/>
          <w:color w:val="333333"/>
          <w:sz w:val="22"/>
        </w:rPr>
        <w:t>A: Answer 8: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9 regarding policy compliance and edge cases?</w:t>
      </w:r>
    </w:p>
    <w:p>
      <w:pPr>
        <w:spacing w:after="240"/>
      </w:pPr>
      <w:r>
        <w:rPr>
          <w:rFonts w:ascii="Calibri" w:hAnsi="Calibri"/>
          <w:color w:val="333333"/>
          <w:sz w:val="22"/>
        </w:rPr>
        <w:t>A: Answer 9: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10 regarding policy compliance and edge cases?</w:t>
      </w:r>
    </w:p>
    <w:p>
      <w:pPr>
        <w:spacing w:after="240"/>
      </w:pPr>
      <w:r>
        <w:rPr>
          <w:rFonts w:ascii="Calibri" w:hAnsi="Calibri"/>
          <w:color w:val="333333"/>
          <w:sz w:val="22"/>
        </w:rPr>
        <w:t>A: Answer 10: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11 regarding policy compliance and edge cases?</w:t>
      </w:r>
    </w:p>
    <w:p>
      <w:pPr>
        <w:spacing w:after="240"/>
      </w:pPr>
      <w:r>
        <w:rPr>
          <w:rFonts w:ascii="Calibri" w:hAnsi="Calibri"/>
          <w:color w:val="333333"/>
          <w:sz w:val="22"/>
        </w:rPr>
        <w:t>A: Answer 11: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12 regarding policy compliance and edge cases?</w:t>
      </w:r>
    </w:p>
    <w:p>
      <w:pPr>
        <w:spacing w:after="240"/>
      </w:pPr>
      <w:r>
        <w:rPr>
          <w:rFonts w:ascii="Calibri" w:hAnsi="Calibri"/>
          <w:color w:val="333333"/>
          <w:sz w:val="22"/>
        </w:rPr>
        <w:t>A: Answer 12: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13 regarding policy compliance and edge cases?</w:t>
      </w:r>
    </w:p>
    <w:p>
      <w:pPr>
        <w:spacing w:after="240"/>
      </w:pPr>
      <w:r>
        <w:rPr>
          <w:rFonts w:ascii="Calibri" w:hAnsi="Calibri"/>
          <w:color w:val="333333"/>
          <w:sz w:val="22"/>
        </w:rPr>
        <w:t>A: Answer 13: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14 regarding policy compliance and edge cases?</w:t>
      </w:r>
    </w:p>
    <w:p>
      <w:pPr>
        <w:spacing w:after="240"/>
      </w:pPr>
      <w:r>
        <w:rPr>
          <w:rFonts w:ascii="Calibri" w:hAnsi="Calibri"/>
          <w:color w:val="333333"/>
          <w:sz w:val="22"/>
        </w:rPr>
        <w:t>A: Answer 14: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15 regarding policy compliance and edge cases?</w:t>
      </w:r>
    </w:p>
    <w:p>
      <w:pPr>
        <w:spacing w:after="240"/>
      </w:pPr>
      <w:r>
        <w:rPr>
          <w:rFonts w:ascii="Calibri" w:hAnsi="Calibri"/>
          <w:color w:val="333333"/>
          <w:sz w:val="22"/>
        </w:rPr>
        <w:t>A: Answer 15: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01 Sep 2025</w:t>
            </w:r>
          </w:p>
        </w:tc>
        <w:tc>
          <w:tcPr>
            <w:tcW w:type="dxa" w:w="2160"/>
          </w:tcPr>
          <w:p>
            <w:r>
              <w:rPr>
                <w:rFonts w:ascii="Calibri" w:hAnsi="Calibri"/>
                <w:color w:val="333333"/>
                <w:sz w:val="18"/>
              </w:rPr>
              <w:t>CLO</w:t>
            </w:r>
          </w:p>
        </w:tc>
        <w:tc>
          <w:tcPr>
            <w:tcW w:type="dxa" w:w="4320"/>
          </w:tcPr>
          <w:p>
            <w:r>
              <w:rPr>
                <w:rFonts w:ascii="Calibri" w:hAnsi="Calibri"/>
                <w:color w:val="333333"/>
                <w:sz w:val="18"/>
              </w:rPr>
              <w:t>Updated for new retention logs</w:t>
            </w:r>
          </w:p>
        </w:tc>
      </w:tr>
      <w:tr>
        <w:tc>
          <w:tcPr>
            <w:tcW w:type="dxa" w:w="1152"/>
            <w:shd w:fill="F2F6FA" w:val="clear"/>
          </w:tcPr>
          <w:p>
            <w:r>
              <w:rPr>
                <w:rFonts w:ascii="Calibri" w:hAnsi="Calibri"/>
                <w:color w:val="333333"/>
                <w:sz w:val="18"/>
              </w:rPr>
              <w:t>2.1</w:t>
            </w:r>
          </w:p>
        </w:tc>
        <w:tc>
          <w:tcPr>
            <w:tcW w:type="dxa" w:w="1872"/>
            <w:shd w:fill="F2F6FA" w:val="clear"/>
          </w:tcPr>
          <w:p>
            <w:r>
              <w:rPr>
                <w:rFonts w:ascii="Calibri" w:hAnsi="Calibri"/>
                <w:color w:val="333333"/>
                <w:sz w:val="18"/>
              </w:rPr>
              <w:t>01 Mar 2026</w:t>
            </w:r>
          </w:p>
        </w:tc>
        <w:tc>
          <w:tcPr>
            <w:tcW w:type="dxa" w:w="2160"/>
            <w:shd w:fill="F2F6FA" w:val="clear"/>
          </w:tcPr>
          <w:p>
            <w:r>
              <w:rPr>
                <w:rFonts w:ascii="Calibri" w:hAnsi="Calibri"/>
                <w:color w:val="333333"/>
                <w:sz w:val="18"/>
              </w:rPr>
              <w:t>CLO</w:t>
            </w:r>
          </w:p>
        </w:tc>
        <w:tc>
          <w:tcPr>
            <w:tcW w:type="dxa" w:w="4320"/>
            <w:shd w:fill="F2F6FA" w:val="clear"/>
          </w:tcPr>
          <w:p>
            <w:r>
              <w:rPr>
                <w:rFonts w:ascii="Calibri" w:hAnsi="Calibri"/>
                <w:color w:val="333333"/>
                <w:sz w:val="18"/>
              </w:rPr>
              <w:t>Refined CCTV and audit log retention periods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DATA-002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