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Subject Request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Subject Request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especially customer support, HR, and legal teams.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DATA-002, DATA-008, HR-006,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w:t>
      </w:r>
    </w:p>
    <w:p>
      <w:pPr/>
      <w:r>
        <w:t>Data subjects, including employees, customers, and partners of Vistara Global Systems, have specific rights regarding their personal data. This policy outlines the procedures for handling Data Subject Requests (DSRs) efficiently and in compliance with global privacy regulations.</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2. Types of Requests</w:t>
      </w:r>
    </w:p>
    <w:p>
      <w:pPr>
        <w:pStyle w:val="ListBullet"/>
      </w:pPr>
      <w:r>
        <w:t>Access: Requesting a copy of personal data held.</w:t>
      </w:r>
    </w:p>
    <w:p>
      <w:pPr>
        <w:pStyle w:val="ListBullet"/>
      </w:pPr>
      <w:r>
        <w:t>Rectification: Correcting inaccurate or incomplete data.</w:t>
      </w:r>
    </w:p>
    <w:p>
      <w:pPr>
        <w:pStyle w:val="ListBullet"/>
      </w:pPr>
      <w:r>
        <w:t>Erasure (Right to be Forgotten): Deleting personal data where no longer needed.</w:t>
      </w:r>
    </w:p>
    <w:p>
      <w:pPr>
        <w:pStyle w:val="ListBullet"/>
      </w:pPr>
      <w:r>
        <w:t>Data Portability: Receiving data in a machine-readable format.</w:t>
      </w:r>
    </w:p>
    <w:p>
      <w:pPr>
        <w:pStyle w:val="ListBullet"/>
      </w:pPr>
      <w:r>
        <w:t>Restriction of Processing: Pausing the processing of data.</w:t>
      </w:r>
    </w:p>
    <w:p>
      <w:pPr>
        <w:pStyle w:val="ListBullet"/>
      </w:pPr>
      <w:r>
        <w:t>Objection: Objecting to processing, especially for direct marketing.</w:t>
      </w:r>
    </w:p>
    <w:p>
      <w:pPr>
        <w:pStyle w:val="ListBullet"/>
      </w:pPr>
      <w:r>
        <w:t>Withdraw Consent: Revoking previously given consent.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5.1. Detailed Standard Operating Procedure - Phase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5.2. Detailed Standard Operating Procedure - Phase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5.3. Detailed Standard Operating Procedure - Phase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5.4. Detailed Standard Operating Procedure - Phase 4</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5.5. Detailed Standard Operating Procedure - Phase 5</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5. Scenarios</w:t>
      </w:r>
    </w:p>
    <w:p>
      <w:pPr>
        <w:pStyle w:val="Heading3"/>
      </w:pPr>
      <w:r>
        <w:t>Scenario 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3: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4: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5: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6: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7: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8: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9: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10: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1"/>
      </w:pPr>
      <w:r>
        <w:t>6. Frequently Asked Questions</w:t>
      </w:r>
    </w:p>
    <w:p>
      <w:r>
        <w:rPr>
          <w:rFonts w:ascii="Calibri" w:hAnsi="Calibri"/>
          <w:b/>
          <w:color w:val="1B3A5C"/>
          <w:sz w:val="22"/>
        </w:rPr>
        <w:t>Q: Question 1 regarding policy compliance and edge cases?</w:t>
      </w:r>
    </w:p>
    <w:p>
      <w:pPr>
        <w:spacing w:after="240"/>
      </w:pPr>
      <w:r>
        <w:rPr>
          <w:rFonts w:ascii="Calibri" w:hAnsi="Calibri"/>
          <w:color w:val="333333"/>
          <w:sz w:val="22"/>
        </w:rPr>
        <w:t>A: Answer 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2 regarding policy compliance and edge cases?</w:t>
      </w:r>
    </w:p>
    <w:p>
      <w:pPr>
        <w:spacing w:after="240"/>
      </w:pPr>
      <w:r>
        <w:rPr>
          <w:rFonts w:ascii="Calibri" w:hAnsi="Calibri"/>
          <w:color w:val="333333"/>
          <w:sz w:val="22"/>
        </w:rPr>
        <w:t>A: Answer 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3 regarding policy compliance and edge cases?</w:t>
      </w:r>
    </w:p>
    <w:p>
      <w:pPr>
        <w:spacing w:after="240"/>
      </w:pPr>
      <w:r>
        <w:rPr>
          <w:rFonts w:ascii="Calibri" w:hAnsi="Calibri"/>
          <w:color w:val="333333"/>
          <w:sz w:val="22"/>
        </w:rPr>
        <w:t>A: Answer 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4 regarding policy compliance and edge cases?</w:t>
      </w:r>
    </w:p>
    <w:p>
      <w:pPr>
        <w:spacing w:after="240"/>
      </w:pPr>
      <w:r>
        <w:rPr>
          <w:rFonts w:ascii="Calibri" w:hAnsi="Calibri"/>
          <w:color w:val="333333"/>
          <w:sz w:val="22"/>
        </w:rPr>
        <w:t>A: Answer 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5 regarding policy compliance and edge cases?</w:t>
      </w:r>
    </w:p>
    <w:p>
      <w:pPr>
        <w:spacing w:after="240"/>
      </w:pPr>
      <w:r>
        <w:rPr>
          <w:rFonts w:ascii="Calibri" w:hAnsi="Calibri"/>
          <w:color w:val="333333"/>
          <w:sz w:val="22"/>
        </w:rPr>
        <w:t>A: Answer 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6 regarding policy compliance and edge cases?</w:t>
      </w:r>
    </w:p>
    <w:p>
      <w:pPr>
        <w:spacing w:after="240"/>
      </w:pPr>
      <w:r>
        <w:rPr>
          <w:rFonts w:ascii="Calibri" w:hAnsi="Calibri"/>
          <w:color w:val="333333"/>
          <w:sz w:val="22"/>
        </w:rPr>
        <w:t>A: Answer 6: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7 regarding policy compliance and edge cases?</w:t>
      </w:r>
    </w:p>
    <w:p>
      <w:pPr>
        <w:spacing w:after="240"/>
      </w:pPr>
      <w:r>
        <w:rPr>
          <w:rFonts w:ascii="Calibri" w:hAnsi="Calibri"/>
          <w:color w:val="333333"/>
          <w:sz w:val="22"/>
        </w:rPr>
        <w:t>A: Answer 7: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8 regarding policy compliance and edge cases?</w:t>
      </w:r>
    </w:p>
    <w:p>
      <w:pPr>
        <w:spacing w:after="240"/>
      </w:pPr>
      <w:r>
        <w:rPr>
          <w:rFonts w:ascii="Calibri" w:hAnsi="Calibri"/>
          <w:color w:val="333333"/>
          <w:sz w:val="22"/>
        </w:rPr>
        <w:t>A: Answer 8: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9 regarding policy compliance and edge cases?</w:t>
      </w:r>
    </w:p>
    <w:p>
      <w:pPr>
        <w:spacing w:after="240"/>
      </w:pPr>
      <w:r>
        <w:rPr>
          <w:rFonts w:ascii="Calibri" w:hAnsi="Calibri"/>
          <w:color w:val="333333"/>
          <w:sz w:val="22"/>
        </w:rPr>
        <w:t>A: Answer 9: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10 regarding policy compliance and edge cases?</w:t>
      </w:r>
    </w:p>
    <w:p>
      <w:pPr>
        <w:spacing w:after="240"/>
      </w:pPr>
      <w:r>
        <w:rPr>
          <w:rFonts w:ascii="Calibri" w:hAnsi="Calibri"/>
          <w:color w:val="333333"/>
          <w:sz w:val="22"/>
        </w:rPr>
        <w:t>A: Answer 10: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11 regarding policy compliance and edge cases?</w:t>
      </w:r>
    </w:p>
    <w:p>
      <w:pPr>
        <w:spacing w:after="240"/>
      </w:pPr>
      <w:r>
        <w:rPr>
          <w:rFonts w:ascii="Calibri" w:hAnsi="Calibri"/>
          <w:color w:val="333333"/>
          <w:sz w:val="22"/>
        </w:rPr>
        <w:t>A: Answer 11: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12 regarding policy compliance and edge cases?</w:t>
      </w:r>
    </w:p>
    <w:p>
      <w:pPr>
        <w:spacing w:after="240"/>
      </w:pPr>
      <w:r>
        <w:rPr>
          <w:rFonts w:ascii="Calibri" w:hAnsi="Calibri"/>
          <w:color w:val="333333"/>
          <w:sz w:val="22"/>
        </w:rPr>
        <w:t>A: Answer 12: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13 regarding policy compliance and edge cases?</w:t>
      </w:r>
    </w:p>
    <w:p>
      <w:pPr>
        <w:spacing w:after="240"/>
      </w:pPr>
      <w:r>
        <w:rPr>
          <w:rFonts w:ascii="Calibri" w:hAnsi="Calibri"/>
          <w:color w:val="333333"/>
          <w:sz w:val="22"/>
        </w:rPr>
        <w:t>A: Answer 13: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14 regarding policy compliance and edge cases?</w:t>
      </w:r>
    </w:p>
    <w:p>
      <w:pPr>
        <w:spacing w:after="240"/>
      </w:pPr>
      <w:r>
        <w:rPr>
          <w:rFonts w:ascii="Calibri" w:hAnsi="Calibri"/>
          <w:color w:val="333333"/>
          <w:sz w:val="22"/>
        </w:rPr>
        <w:t>A: Answer 14: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15 regarding policy compliance and edge cases?</w:t>
      </w:r>
    </w:p>
    <w:p>
      <w:pPr>
        <w:spacing w:after="240"/>
      </w:pPr>
      <w:r>
        <w:rPr>
          <w:rFonts w:ascii="Calibri" w:hAnsi="Calibri"/>
          <w:color w:val="333333"/>
          <w:sz w:val="22"/>
        </w:rPr>
        <w:t>A: Answer 15: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1.1</w:t>
            </w:r>
          </w:p>
        </w:tc>
        <w:tc>
          <w:tcPr>
            <w:tcW w:type="dxa" w:w="1872"/>
          </w:tcPr>
          <w:p>
            <w:r>
              <w:rPr>
                <w:rFonts w:ascii="Calibri" w:hAnsi="Calibri"/>
                <w:color w:val="333333"/>
                <w:sz w:val="18"/>
              </w:rPr>
              <w:t>01 Oct 2025</w:t>
            </w:r>
          </w:p>
        </w:tc>
        <w:tc>
          <w:tcPr>
            <w:tcW w:type="dxa" w:w="2160"/>
          </w:tcPr>
          <w:p>
            <w:r>
              <w:rPr>
                <w:rFonts w:ascii="Calibri" w:hAnsi="Calibri"/>
                <w:color w:val="333333"/>
                <w:sz w:val="18"/>
              </w:rPr>
              <w:t>Legal</w:t>
            </w:r>
          </w:p>
        </w:tc>
        <w:tc>
          <w:tcPr>
            <w:tcW w:type="dxa" w:w="4320"/>
          </w:tcPr>
          <w:p>
            <w:r>
              <w:rPr>
                <w:rFonts w:ascii="Calibri" w:hAnsi="Calibri"/>
                <w:color w:val="333333"/>
                <w:sz w:val="18"/>
              </w:rPr>
              <w:t>Process improvements for DSRs</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15 Apr 2026</w:t>
            </w:r>
          </w:p>
        </w:tc>
        <w:tc>
          <w:tcPr>
            <w:tcW w:type="dxa" w:w="2160"/>
            <w:shd w:fill="F2F6FA" w:val="clear"/>
          </w:tcPr>
          <w:p>
            <w:r>
              <w:rPr>
                <w:rFonts w:ascii="Calibri" w:hAnsi="Calibri"/>
                <w:color w:val="333333"/>
                <w:sz w:val="18"/>
              </w:rPr>
              <w:t>Legal</w:t>
            </w:r>
          </w:p>
        </w:tc>
        <w:tc>
          <w:tcPr>
            <w:tcW w:type="dxa" w:w="4320"/>
            <w:shd w:fill="F2F6FA" w:val="clear"/>
          </w:tcPr>
          <w:p>
            <w:r>
              <w:rPr>
                <w:rFonts w:ascii="Calibri" w:hAnsi="Calibri"/>
                <w:color w:val="333333"/>
                <w:sz w:val="18"/>
              </w:rPr>
              <w:t>Updated timelines and support portal instructions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DATA-003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