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Cross-Border Data Transfer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DATA-004</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November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DATA-004</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Cross-Border Data Transfer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May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November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IT, Legal, Procurement, and all teams managing international data flows.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November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DATA-001, DATA-005, DATA-008, SEC-001, SEC-005, SEC-012, HR-005, HR-006, LEGAL-007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w:t>
      </w:r>
    </w:p>
    <w:p>
      <w:pPr/>
      <w:r>
        <w:t>As a global entity with operations in India, Singapore, Dubai, London, and Austin, Vistara Global Systems routinely transfers data across borders. This policy governs such transfers, ensuring adherence to the Indian DPDP Act, GDPR, Singapore PDPA, and other applicable localization laws. It is classified as Confidential due to the detailed routing and mechanism configurations described herein.</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1"/>
      </w:pPr>
      <w:r>
        <w:t>2. Transfer Mechanisms and Routes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fill="1B3A5C" w:val="clear"/>
          </w:tcPr>
          <w:p>
            <w:pPr>
              <w:jc w:val="center"/>
            </w:pPr>
            <w:r>
              <w:rPr>
                <w:rFonts w:ascii="Calibri" w:hAnsi="Calibri"/>
                <w:b/>
                <w:color w:val="FFFFFF"/>
                <w:sz w:val="20"/>
              </w:rPr>
              <w:t>Source</w:t>
            </w:r>
          </w:p>
        </w:tc>
        <w:tc>
          <w:tcPr>
            <w:tcW w:type="dxa" w:w="2160"/>
            <w:shd w:fill="1B3A5C" w:val="clear"/>
          </w:tcPr>
          <w:p>
            <w:pPr>
              <w:jc w:val="center"/>
            </w:pPr>
            <w:r>
              <w:rPr>
                <w:rFonts w:ascii="Calibri" w:hAnsi="Calibri"/>
                <w:b/>
                <w:color w:val="FFFFFF"/>
                <w:sz w:val="20"/>
              </w:rPr>
              <w:t>Destination</w:t>
            </w:r>
          </w:p>
        </w:tc>
        <w:tc>
          <w:tcPr>
            <w:tcW w:type="dxa" w:w="2880"/>
            <w:shd w:fill="1B3A5C" w:val="clear"/>
          </w:tcPr>
          <w:p>
            <w:pPr>
              <w:jc w:val="center"/>
            </w:pPr>
            <w:r>
              <w:rPr>
                <w:rFonts w:ascii="Calibri" w:hAnsi="Calibri"/>
                <w:b/>
                <w:color w:val="FFFFFF"/>
                <w:sz w:val="20"/>
              </w:rPr>
              <w:t>Legal Mechanism</w:t>
            </w:r>
          </w:p>
        </w:tc>
        <w:tc>
          <w:tcPr>
            <w:tcW w:type="dxa" w:w="2160"/>
            <w:shd w:fill="1B3A5C" w:val="clear"/>
          </w:tcPr>
          <w:p>
            <w:pPr>
              <w:jc w:val="center"/>
            </w:pPr>
            <w:r>
              <w:rPr>
                <w:rFonts w:ascii="Calibri" w:hAnsi="Calibri"/>
                <w:b/>
                <w:color w:val="FFFFFF"/>
                <w:sz w:val="20"/>
              </w:rPr>
              <w:t>Notes</w:t>
            </w:r>
          </w:p>
        </w:tc>
      </w:tr>
      <w:tr>
        <w:tc>
          <w:tcPr>
            <w:tcW w:type="dxa" w:w="2160"/>
          </w:tcPr>
          <w:p>
            <w:r>
              <w:rPr>
                <w:rFonts w:ascii="Calibri" w:hAnsi="Calibri"/>
                <w:color w:val="333333"/>
                <w:sz w:val="18"/>
              </w:rPr>
              <w:t>India</w:t>
            </w:r>
          </w:p>
        </w:tc>
        <w:tc>
          <w:tcPr>
            <w:tcW w:type="dxa" w:w="2160"/>
          </w:tcPr>
          <w:p>
            <w:r>
              <w:rPr>
                <w:rFonts w:ascii="Calibri" w:hAnsi="Calibri"/>
                <w:color w:val="333333"/>
                <w:sz w:val="18"/>
              </w:rPr>
              <w:t>Singapore</w:t>
            </w:r>
          </w:p>
        </w:tc>
        <w:tc>
          <w:tcPr>
            <w:tcW w:type="dxa" w:w="2880"/>
          </w:tcPr>
          <w:p>
            <w:r>
              <w:rPr>
                <w:rFonts w:ascii="Calibri" w:hAnsi="Calibri"/>
                <w:color w:val="333333"/>
                <w:sz w:val="18"/>
              </w:rPr>
              <w:t>Contractual Safeguards</w:t>
            </w:r>
          </w:p>
        </w:tc>
        <w:tc>
          <w:tcPr>
            <w:tcW w:type="dxa" w:w="2160"/>
          </w:tcPr>
          <w:p>
            <w:r>
              <w:rPr>
                <w:rFonts w:ascii="Calibri" w:hAnsi="Calibri"/>
                <w:color w:val="333333"/>
                <w:sz w:val="18"/>
              </w:rPr>
              <w:t>Primary backup route for non-restricted data</w:t>
            </w:r>
          </w:p>
        </w:tc>
      </w:tr>
      <w:tr>
        <w:tc>
          <w:tcPr>
            <w:tcW w:type="dxa" w:w="2160"/>
            <w:shd w:fill="F2F6FA" w:val="clear"/>
          </w:tcPr>
          <w:p>
            <w:r>
              <w:rPr>
                <w:rFonts w:ascii="Calibri" w:hAnsi="Calibri"/>
                <w:color w:val="333333"/>
                <w:sz w:val="18"/>
              </w:rPr>
              <w:t>India</w:t>
            </w:r>
          </w:p>
        </w:tc>
        <w:tc>
          <w:tcPr>
            <w:tcW w:type="dxa" w:w="2160"/>
            <w:shd w:fill="F2F6FA" w:val="clear"/>
          </w:tcPr>
          <w:p>
            <w:r>
              <w:rPr>
                <w:rFonts w:ascii="Calibri" w:hAnsi="Calibri"/>
                <w:color w:val="333333"/>
                <w:sz w:val="18"/>
              </w:rPr>
              <w:t>London</w:t>
            </w:r>
          </w:p>
        </w:tc>
        <w:tc>
          <w:tcPr>
            <w:tcW w:type="dxa" w:w="2880"/>
            <w:shd w:fill="F2F6FA" w:val="clear"/>
          </w:tcPr>
          <w:p>
            <w:r>
              <w:rPr>
                <w:rFonts w:ascii="Calibri" w:hAnsi="Calibri"/>
                <w:color w:val="333333"/>
                <w:sz w:val="18"/>
              </w:rPr>
              <w:t>Contractual Safeguards / SCCs</w:t>
            </w:r>
          </w:p>
        </w:tc>
        <w:tc>
          <w:tcPr>
            <w:tcW w:type="dxa" w:w="2160"/>
            <w:shd w:fill="F2F6FA" w:val="clear"/>
          </w:tcPr>
          <w:p>
            <w:r>
              <w:rPr>
                <w:rFonts w:ascii="Calibri" w:hAnsi="Calibri"/>
                <w:color w:val="333333"/>
                <w:sz w:val="18"/>
              </w:rPr>
              <w:t>Requires adequacy check</w:t>
            </w:r>
          </w:p>
        </w:tc>
      </w:tr>
      <w:tr>
        <w:tc>
          <w:tcPr>
            <w:tcW w:type="dxa" w:w="2160"/>
          </w:tcPr>
          <w:p>
            <w:r>
              <w:rPr>
                <w:rFonts w:ascii="Calibri" w:hAnsi="Calibri"/>
                <w:color w:val="333333"/>
                <w:sz w:val="18"/>
              </w:rPr>
              <w:t>London</w:t>
            </w:r>
          </w:p>
        </w:tc>
        <w:tc>
          <w:tcPr>
            <w:tcW w:type="dxa" w:w="2160"/>
          </w:tcPr>
          <w:p>
            <w:r>
              <w:rPr>
                <w:rFonts w:ascii="Calibri" w:hAnsi="Calibri"/>
                <w:color w:val="333333"/>
                <w:sz w:val="18"/>
              </w:rPr>
              <w:t>India</w:t>
            </w:r>
          </w:p>
        </w:tc>
        <w:tc>
          <w:tcPr>
            <w:tcW w:type="dxa" w:w="2880"/>
          </w:tcPr>
          <w:p>
            <w:r>
              <w:rPr>
                <w:rFonts w:ascii="Calibri" w:hAnsi="Calibri"/>
                <w:color w:val="333333"/>
                <w:sz w:val="18"/>
              </w:rPr>
              <w:t>SCCs / UK Addendum</w:t>
            </w:r>
          </w:p>
        </w:tc>
        <w:tc>
          <w:tcPr>
            <w:tcW w:type="dxa" w:w="2160"/>
          </w:tcPr>
          <w:p>
            <w:r>
              <w:rPr>
                <w:rFonts w:ascii="Calibri" w:hAnsi="Calibri"/>
                <w:color w:val="333333"/>
                <w:sz w:val="18"/>
              </w:rPr>
              <w:t>Subject to Transfer Impact Assessment</w:t>
            </w:r>
          </w:p>
        </w:tc>
      </w:tr>
      <w:tr>
        <w:tc>
          <w:tcPr>
            <w:tcW w:type="dxa" w:w="2160"/>
            <w:shd w:fill="F2F6FA" w:val="clear"/>
          </w:tcPr>
          <w:p>
            <w:r>
              <w:rPr>
                <w:rFonts w:ascii="Calibri" w:hAnsi="Calibri"/>
                <w:color w:val="333333"/>
                <w:sz w:val="18"/>
              </w:rPr>
              <w:t>Singapore</w:t>
            </w:r>
          </w:p>
        </w:tc>
        <w:tc>
          <w:tcPr>
            <w:tcW w:type="dxa" w:w="2160"/>
            <w:shd w:fill="F2F6FA" w:val="clear"/>
          </w:tcPr>
          <w:p>
            <w:r>
              <w:rPr>
                <w:rFonts w:ascii="Calibri" w:hAnsi="Calibri"/>
                <w:color w:val="333333"/>
                <w:sz w:val="18"/>
              </w:rPr>
              <w:t>Austin</w:t>
            </w:r>
          </w:p>
        </w:tc>
        <w:tc>
          <w:tcPr>
            <w:tcW w:type="dxa" w:w="2880"/>
            <w:shd w:fill="F2F6FA" w:val="clear"/>
          </w:tcPr>
          <w:p>
            <w:r>
              <w:rPr>
                <w:rFonts w:ascii="Calibri" w:hAnsi="Calibri"/>
                <w:color w:val="333333"/>
                <w:sz w:val="18"/>
              </w:rPr>
              <w:t>Standard Contractual Clauses</w:t>
            </w:r>
          </w:p>
        </w:tc>
        <w:tc>
          <w:tcPr>
            <w:tcW w:type="dxa" w:w="2160"/>
            <w:shd w:fill="F2F6FA" w:val="clear"/>
          </w:tcPr>
          <w:p>
            <w:r>
              <w:rPr>
                <w:rFonts w:ascii="Calibri" w:hAnsi="Calibri"/>
                <w:color w:val="333333"/>
                <w:sz w:val="18"/>
              </w:rPr>
              <w:t>For SaaS analytics platforms</w:t>
            </w:r>
          </w:p>
        </w:tc>
      </w:tr>
      <w:tr>
        <w:tc>
          <w:tcPr>
            <w:tcW w:type="dxa" w:w="2160"/>
          </w:tcPr>
          <w:p>
            <w:r>
              <w:rPr>
                <w:rFonts w:ascii="Calibri" w:hAnsi="Calibri"/>
                <w:color w:val="333333"/>
                <w:sz w:val="18"/>
              </w:rPr>
              <w:t>Dubai</w:t>
            </w:r>
          </w:p>
        </w:tc>
        <w:tc>
          <w:tcPr>
            <w:tcW w:type="dxa" w:w="2160"/>
          </w:tcPr>
          <w:p>
            <w:r>
              <w:rPr>
                <w:rFonts w:ascii="Calibri" w:hAnsi="Calibri"/>
                <w:color w:val="333333"/>
                <w:sz w:val="18"/>
              </w:rPr>
              <w:t>India</w:t>
            </w:r>
          </w:p>
        </w:tc>
        <w:tc>
          <w:tcPr>
            <w:tcW w:type="dxa" w:w="2880"/>
          </w:tcPr>
          <w:p>
            <w:r>
              <w:rPr>
                <w:rFonts w:ascii="Calibri" w:hAnsi="Calibri"/>
                <w:color w:val="333333"/>
                <w:sz w:val="18"/>
              </w:rPr>
              <w:t>DIFC/ADGM compliant contracts</w:t>
            </w:r>
          </w:p>
        </w:tc>
        <w:tc>
          <w:tcPr>
            <w:tcW w:type="dxa" w:w="2160"/>
          </w:tcPr>
          <w:p>
            <w:r>
              <w:rPr>
                <w:rFonts w:ascii="Calibri" w:hAnsi="Calibri"/>
                <w:color w:val="333333"/>
                <w:sz w:val="18"/>
              </w:rPr>
              <w:t>HQ consolidation route</w:t>
            </w:r>
          </w:p>
        </w:tc>
      </w:tr>
    </w:tbl>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5.1. Detailed Standard Operating Procedure - Phase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5.1.1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5.1.2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5.1.3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5.2. Detailed Standard Operating Procedure - Phase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5.2.1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5.2.2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5.2.3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5.3. Detailed Standard Operating Procedure - Phase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5.3.1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5.3.2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5.3.3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5.4. Detailed Standard Operating Procedure - Phase 4</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5.4.1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5.4.2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5.4.3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5.5. Detailed Standard Operating Procedure - Phase 5</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5.5.1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5.5.2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5.5.3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5.6. Detailed Standard Operating Procedure - Phase 6</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5.6.1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5.6.2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5.6.3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2"/>
      </w:pPr>
      <w:r>
        <w:t>5.7. Detailed Standard Operating Procedure - Phase 7</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5.7.1 Specific Requirement 1</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5.7.2 Specific Requirement 2</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3"/>
      </w:pPr>
      <w:r>
        <w:t>5.7.3 Specific Requirement 3</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r>
        <w:t>In accordance with Vistara Global Systems' commitment to operational excellence and regulatory compliance, this section delineates the core principles and procedural safeguards mandated for all business units. Adherence to these guidelines ensures the integrity, confidentiality, and availability of critical enterprise assets while mitigating risks associated with unauthorized access, data loss, and operational disruption. It is the responsibility of every employee, contractor, and third-party vendor to familiarize themselves with these requirements and implement them effectively within their respective domains. Any deviations must be formally documented and approved by the appropriate authority as outlined in the governance framework. Regular audits and assessments will be conducted to verify compliance and identify areas for continuous improvement.</w:t>
      </w:r>
    </w:p>
    <w:p>
      <w:pPr>
        <w:pStyle w:val="Heading1"/>
      </w:pPr>
      <w:r>
        <w:t>5. Scenarios</w:t>
      </w:r>
    </w:p>
    <w:p>
      <w:pPr>
        <w:pStyle w:val="Heading3"/>
      </w:pPr>
      <w:r>
        <w:t>Scenario 1: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2: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3: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4: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5: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6: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7: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8: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9: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10: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11: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3"/>
      </w:pPr>
      <w:r>
        <w:t>Scenario 12: Handling cross-departmental data requests</w:t>
      </w:r>
    </w:p>
    <w:p>
      <w:r>
        <w:rPr>
          <w:b/>
          <w:color w:val="1B3A5C"/>
        </w:rPr>
        <w:t xml:space="preserve">Situation: </w:t>
      </w:r>
      <w:r>
        <w:t>A manager from the marketing department requests bulk access to customer support logs for sentiment analysis.</w:t>
      </w:r>
    </w:p>
    <w:p>
      <w:r>
        <w:rPr>
          <w:b/>
          <w:color w:val="1B3A5C"/>
        </w:rPr>
        <w:t xml:space="preserve">Relevant Requirements: </w:t>
      </w:r>
      <w:r>
        <w:t>DATA-001 Purpose Limitation, SEC-005 Access Control, and DATA-008 Customer Data.</w:t>
      </w:r>
    </w:p>
    <w:p>
      <w:r>
        <w:rPr>
          <w:b/>
          <w:color w:val="1B3A5C"/>
        </w:rPr>
        <w:t xml:space="preserve">Expected Process: </w:t>
      </w:r>
      <w:r>
        <w:t>The marketing manager must submit a formal access request specifying the data points needed. The IT Security team will review the request against the original consent obtained from customers. If approved, data must be anonymized before transfer.</w:t>
      </w:r>
    </w:p>
    <w:p>
      <w:r>
        <w:rPr>
          <w:b/>
          <w:color w:val="1B3A5C"/>
        </w:rPr>
        <w:t xml:space="preserve">Outcome: </w:t>
      </w:r>
      <w:r>
        <w:t>Request fulfilled with anonymized dataset; full compliance with Vistara data protection standards maintained.</w:t>
      </w:r>
    </w:p>
    <w:p/>
    <w:p>
      <w:pPr>
        <w:pStyle w:val="Heading1"/>
      </w:pPr>
      <w:r>
        <w:t>6. Frequently Asked Questions</w:t>
      </w:r>
    </w:p>
    <w:p>
      <w:r>
        <w:rPr>
          <w:rFonts w:ascii="Calibri" w:hAnsi="Calibri"/>
          <w:b/>
          <w:color w:val="1B3A5C"/>
          <w:sz w:val="22"/>
        </w:rPr>
        <w:t>Q: Question 1 regarding policy compliance and edge cases?</w:t>
      </w:r>
    </w:p>
    <w:p>
      <w:pPr>
        <w:spacing w:after="240"/>
      </w:pPr>
      <w:r>
        <w:rPr>
          <w:rFonts w:ascii="Calibri" w:hAnsi="Calibri"/>
          <w:color w:val="333333"/>
          <w:sz w:val="22"/>
        </w:rPr>
        <w:t>A: Answer 1: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2 regarding policy compliance and edge cases?</w:t>
      </w:r>
    </w:p>
    <w:p>
      <w:pPr>
        <w:spacing w:after="240"/>
      </w:pPr>
      <w:r>
        <w:rPr>
          <w:rFonts w:ascii="Calibri" w:hAnsi="Calibri"/>
          <w:color w:val="333333"/>
          <w:sz w:val="22"/>
        </w:rPr>
        <w:t>A: Answer 2: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3 regarding policy compliance and edge cases?</w:t>
      </w:r>
    </w:p>
    <w:p>
      <w:pPr>
        <w:spacing w:after="240"/>
      </w:pPr>
      <w:r>
        <w:rPr>
          <w:rFonts w:ascii="Calibri" w:hAnsi="Calibri"/>
          <w:color w:val="333333"/>
          <w:sz w:val="22"/>
        </w:rPr>
        <w:t>A: Answer 3: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4 regarding policy compliance and edge cases?</w:t>
      </w:r>
    </w:p>
    <w:p>
      <w:pPr>
        <w:spacing w:after="240"/>
      </w:pPr>
      <w:r>
        <w:rPr>
          <w:rFonts w:ascii="Calibri" w:hAnsi="Calibri"/>
          <w:color w:val="333333"/>
          <w:sz w:val="22"/>
        </w:rPr>
        <w:t>A: Answer 4: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5 regarding policy compliance and edge cases?</w:t>
      </w:r>
    </w:p>
    <w:p>
      <w:pPr>
        <w:spacing w:after="240"/>
      </w:pPr>
      <w:r>
        <w:rPr>
          <w:rFonts w:ascii="Calibri" w:hAnsi="Calibri"/>
          <w:color w:val="333333"/>
          <w:sz w:val="22"/>
        </w:rPr>
        <w:t>A: Answer 5: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6 regarding policy compliance and edge cases?</w:t>
      </w:r>
    </w:p>
    <w:p>
      <w:pPr>
        <w:spacing w:after="240"/>
      </w:pPr>
      <w:r>
        <w:rPr>
          <w:rFonts w:ascii="Calibri" w:hAnsi="Calibri"/>
          <w:color w:val="333333"/>
          <w:sz w:val="22"/>
        </w:rPr>
        <w:t>A: Answer 6: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7 regarding policy compliance and edge cases?</w:t>
      </w:r>
    </w:p>
    <w:p>
      <w:pPr>
        <w:spacing w:after="240"/>
      </w:pPr>
      <w:r>
        <w:rPr>
          <w:rFonts w:ascii="Calibri" w:hAnsi="Calibri"/>
          <w:color w:val="333333"/>
          <w:sz w:val="22"/>
        </w:rPr>
        <w:t>A: Answer 7: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8 regarding policy compliance and edge cases?</w:t>
      </w:r>
    </w:p>
    <w:p>
      <w:pPr>
        <w:spacing w:after="240"/>
      </w:pPr>
      <w:r>
        <w:rPr>
          <w:rFonts w:ascii="Calibri" w:hAnsi="Calibri"/>
          <w:color w:val="333333"/>
          <w:sz w:val="22"/>
        </w:rPr>
        <w:t>A: Answer 8: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9 regarding policy compliance and edge cases?</w:t>
      </w:r>
    </w:p>
    <w:p>
      <w:pPr>
        <w:spacing w:after="240"/>
      </w:pPr>
      <w:r>
        <w:rPr>
          <w:rFonts w:ascii="Calibri" w:hAnsi="Calibri"/>
          <w:color w:val="333333"/>
          <w:sz w:val="22"/>
        </w:rPr>
        <w:t>A: Answer 9: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10 regarding policy compliance and edge cases?</w:t>
      </w:r>
    </w:p>
    <w:p>
      <w:pPr>
        <w:spacing w:after="240"/>
      </w:pPr>
      <w:r>
        <w:rPr>
          <w:rFonts w:ascii="Calibri" w:hAnsi="Calibri"/>
          <w:color w:val="333333"/>
          <w:sz w:val="22"/>
        </w:rPr>
        <w:t>A: Answer 10: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11 regarding policy compliance and edge cases?</w:t>
      </w:r>
    </w:p>
    <w:p>
      <w:pPr>
        <w:spacing w:after="240"/>
      </w:pPr>
      <w:r>
        <w:rPr>
          <w:rFonts w:ascii="Calibri" w:hAnsi="Calibri"/>
          <w:color w:val="333333"/>
          <w:sz w:val="22"/>
        </w:rPr>
        <w:t>A: Answer 11: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12 regarding policy compliance and edge cases?</w:t>
      </w:r>
    </w:p>
    <w:p>
      <w:pPr>
        <w:spacing w:after="240"/>
      </w:pPr>
      <w:r>
        <w:rPr>
          <w:rFonts w:ascii="Calibri" w:hAnsi="Calibri"/>
          <w:color w:val="333333"/>
          <w:sz w:val="22"/>
        </w:rPr>
        <w:t>A: Answer 12: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13 regarding policy compliance and edge cases?</w:t>
      </w:r>
    </w:p>
    <w:p>
      <w:pPr>
        <w:spacing w:after="240"/>
      </w:pPr>
      <w:r>
        <w:rPr>
          <w:rFonts w:ascii="Calibri" w:hAnsi="Calibri"/>
          <w:color w:val="333333"/>
          <w:sz w:val="22"/>
        </w:rPr>
        <w:t>A: Answer 13: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14 regarding policy compliance and edge cases?</w:t>
      </w:r>
    </w:p>
    <w:p>
      <w:pPr>
        <w:spacing w:after="240"/>
      </w:pPr>
      <w:r>
        <w:rPr>
          <w:rFonts w:ascii="Calibri" w:hAnsi="Calibri"/>
          <w:color w:val="333333"/>
          <w:sz w:val="22"/>
        </w:rPr>
        <w:t>A: Answer 14: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r>
        <w:rPr>
          <w:rFonts w:ascii="Calibri" w:hAnsi="Calibri"/>
          <w:b/>
          <w:color w:val="1B3A5C"/>
          <w:sz w:val="22"/>
        </w:rPr>
        <w:t>Q: Question 15 regarding policy compliance and edge cases?</w:t>
      </w:r>
    </w:p>
    <w:p>
      <w:pPr>
        <w:spacing w:after="240"/>
      </w:pPr>
      <w:r>
        <w:rPr>
          <w:rFonts w:ascii="Calibri" w:hAnsi="Calibri"/>
          <w:color w:val="333333"/>
          <w:sz w:val="22"/>
        </w:rPr>
        <w:t>A: Answer 15: In cases where this scenario occurs, employees must immediately consult their line manager and reference the specific control frameworks detailed in Section 4. Vistara Global Systems requires all such incidents to be logged in the centralized compliance portal within 24 hours of identification. Failure to do so may result in disciplinary action as per the HR guidelines.</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1.2</w:t>
            </w:r>
          </w:p>
        </w:tc>
        <w:tc>
          <w:tcPr>
            <w:tcW w:type="dxa" w:w="1872"/>
          </w:tcPr>
          <w:p>
            <w:r>
              <w:rPr>
                <w:rFonts w:ascii="Calibri" w:hAnsi="Calibri"/>
                <w:color w:val="333333"/>
                <w:sz w:val="18"/>
              </w:rPr>
              <w:t>01 Nov 2025</w:t>
            </w:r>
          </w:p>
        </w:tc>
        <w:tc>
          <w:tcPr>
            <w:tcW w:type="dxa" w:w="2160"/>
          </w:tcPr>
          <w:p>
            <w:r>
              <w:rPr>
                <w:rFonts w:ascii="Calibri" w:hAnsi="Calibri"/>
                <w:color w:val="333333"/>
                <w:sz w:val="18"/>
              </w:rPr>
              <w:t>Legal</w:t>
            </w:r>
          </w:p>
        </w:tc>
        <w:tc>
          <w:tcPr>
            <w:tcW w:type="dxa" w:w="4320"/>
          </w:tcPr>
          <w:p>
            <w:r>
              <w:rPr>
                <w:rFonts w:ascii="Calibri" w:hAnsi="Calibri"/>
                <w:color w:val="333333"/>
                <w:sz w:val="18"/>
              </w:rPr>
              <w:t>Updated for Dubai office expansion</w:t>
            </w:r>
          </w:p>
        </w:tc>
      </w:tr>
      <w:tr>
        <w:tc>
          <w:tcPr>
            <w:tcW w:type="dxa" w:w="1152"/>
            <w:shd w:fill="F2F6FA" w:val="clear"/>
          </w:tcPr>
          <w:p>
            <w:r>
              <w:rPr>
                <w:rFonts w:ascii="Calibri" w:hAnsi="Calibri"/>
                <w:color w:val="333333"/>
                <w:sz w:val="18"/>
              </w:rPr>
              <w:t>2.0</w:t>
            </w:r>
          </w:p>
        </w:tc>
        <w:tc>
          <w:tcPr>
            <w:tcW w:type="dxa" w:w="1872"/>
            <w:shd w:fill="F2F6FA" w:val="clear"/>
          </w:tcPr>
          <w:p>
            <w:r>
              <w:rPr>
                <w:rFonts w:ascii="Calibri" w:hAnsi="Calibri"/>
                <w:color w:val="333333"/>
                <w:sz w:val="18"/>
              </w:rPr>
              <w:t>01 May 2026</w:t>
            </w:r>
          </w:p>
        </w:tc>
        <w:tc>
          <w:tcPr>
            <w:tcW w:type="dxa" w:w="2160"/>
            <w:shd w:fill="F2F6FA" w:val="clear"/>
          </w:tcPr>
          <w:p>
            <w:r>
              <w:rPr>
                <w:rFonts w:ascii="Calibri" w:hAnsi="Calibri"/>
                <w:color w:val="333333"/>
                <w:sz w:val="18"/>
              </w:rPr>
              <w:t>CLO</w:t>
            </w:r>
          </w:p>
        </w:tc>
        <w:tc>
          <w:tcPr>
            <w:tcW w:type="dxa" w:w="4320"/>
            <w:shd w:fill="F2F6FA" w:val="clear"/>
          </w:tcPr>
          <w:p>
            <w:r>
              <w:rPr>
                <w:rFonts w:ascii="Calibri" w:hAnsi="Calibri"/>
                <w:color w:val="333333"/>
                <w:sz w:val="18"/>
              </w:rPr>
              <w:t>Major revision incorporating new Transfer Impact Assessments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DATA-004</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