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 Breach and Notification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DATA-005</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December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DATA-005</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 Breach and Notification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December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Biannual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and Contractors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December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DATA-001, DATA-004, DATA-007, DATA-008, SEC-001, SEC-011, CORP-005,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The purpose of this policy is to establish the standards and guidelines for Vistara Global Systems Pvt. Ltd. and all its subsidiaries. As a global technology enterprise operating in multiple jurisdictions including India, Singapore, UAE, UK, and the USA, we process vast amounts of sensitive information. This document mandates the correct procedures to ensure compliance with international regulations, safeguard intellectual property, and maintain customer trust. Failure to adhere to this policy may result in disciplinary action up to and including termination of employment or contract.</w:t>
      </w:r>
    </w:p>
    <w:p>
      <w:pPr>
        <w:pStyle w:val="Heading1"/>
      </w:pPr>
      <w:r>
        <w:t>2. Scope and Applicability</w:t>
      </w:r>
    </w:p>
    <w:p>
      <w:pPr/>
      <w:r>
        <w:t>This policy applies to all employees, contractors, third-party vendors, consultants, and business partners of Vistara Global Systems. It covers operations across all locations including Bengaluru, Hyderabad, Pune, Mumbai, Gurugram, Chennai, Kolkata, New Delhi, Singapore, Dubai, London, and Austin. It applies to all systems, networks, devices, and physical locations owned, leased, or operated by Vistara.</w:t>
      </w:r>
    </w:p>
    <w:p>
      <w:pPr>
        <w:pStyle w:val="Heading1"/>
      </w:pPr>
      <w:r>
        <w:t>3. Glossary of Terms</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r>
        <w:rPr>
          <w:rFonts w:ascii="Calibri" w:hAnsi="Calibri"/>
          <w:b/>
          <w:color w:val="333333"/>
          <w:sz w:val="22"/>
        </w:rPr>
        <w:t>Confidential Data</w:t>
      </w:r>
    </w:p>
    <w:p>
      <w:pPr/>
      <w:r>
        <w:t>Information that is proprietary to Vistara and its unauthorized disclosure could cause significant harm.</w:t>
      </w:r>
    </w:p>
    <w:p>
      <w:r>
        <w:rPr>
          <w:rFonts w:ascii="Calibri" w:hAnsi="Calibri"/>
          <w:b/>
          <w:color w:val="333333"/>
          <w:sz w:val="22"/>
        </w:rPr>
        <w:t>Restricted Data</w:t>
      </w:r>
    </w:p>
    <w:p>
      <w:pPr/>
      <w:r>
        <w:t>The most sensitive classification of data, including PII, source code, and unreleased financials.</w:t>
      </w:r>
    </w:p>
    <w:p>
      <w:r>
        <w:rPr>
          <w:rFonts w:ascii="Calibri" w:hAnsi="Calibri"/>
          <w:b/>
          <w:color w:val="333333"/>
          <w:sz w:val="22"/>
        </w:rPr>
        <w:t>Internal Data</w:t>
      </w:r>
    </w:p>
    <w:p>
      <w:pPr/>
      <w:r>
        <w:t>Information intended for internal use only, though its disclosure would not cause significant harm.</w:t>
      </w:r>
    </w:p>
    <w:p>
      <w:r>
        <w:rPr>
          <w:rFonts w:ascii="Calibri" w:hAnsi="Calibri"/>
          <w:b/>
          <w:color w:val="333333"/>
          <w:sz w:val="22"/>
        </w:rPr>
        <w:t>Public Data</w:t>
      </w:r>
    </w:p>
    <w:p>
      <w:pPr/>
      <w:r>
        <w:t>Information that has been approved for public release.</w:t>
      </w:r>
    </w:p>
    <w:p>
      <w:r>
        <w:rPr>
          <w:rFonts w:ascii="Calibri" w:hAnsi="Calibri"/>
          <w:b/>
          <w:color w:val="333333"/>
          <w:sz w:val="22"/>
        </w:rPr>
        <w:t>DLP (Data Loss Prevention)</w:t>
      </w:r>
    </w:p>
    <w:p>
      <w:pPr/>
      <w:r>
        <w:t>Tools and processes designed to detect and prevent unauthorized data exfiltration.</w:t>
      </w:r>
    </w:p>
    <w:p>
      <w:r>
        <w:rPr>
          <w:rFonts w:ascii="Calibri" w:hAnsi="Calibri"/>
          <w:b/>
          <w:color w:val="333333"/>
          <w:sz w:val="22"/>
        </w:rPr>
        <w:t>SOC (Security Operations Center)</w:t>
      </w:r>
    </w:p>
    <w:p>
      <w:pPr/>
      <w:r>
        <w:t>The centralized unit responsible for monitoring and defending Vistara's infrastructure.</w:t>
      </w:r>
    </w:p>
    <w:p>
      <w:r>
        <w:rPr>
          <w:rFonts w:ascii="Calibri" w:hAnsi="Calibri"/>
          <w:b/>
          <w:color w:val="333333"/>
          <w:sz w:val="22"/>
        </w:rPr>
        <w:t>CISO (Chief Information Security Officer)</w:t>
      </w:r>
    </w:p>
    <w:p>
      <w:pPr/>
      <w:r>
        <w:t>The executive responsible for information security strategy and operations.</w:t>
      </w:r>
    </w:p>
    <w:p>
      <w:r>
        <w:rPr>
          <w:rFonts w:ascii="Calibri" w:hAnsi="Calibri"/>
          <w:b/>
          <w:color w:val="333333"/>
          <w:sz w:val="22"/>
        </w:rPr>
        <w:t>Data Subject</w:t>
      </w:r>
    </w:p>
    <w:p>
      <w:pPr/>
      <w:r>
        <w:t>The individual to whom personal data relates.</w:t>
      </w:r>
    </w:p>
    <w:p>
      <w:r>
        <w:rPr>
          <w:rFonts w:ascii="Calibri" w:hAnsi="Calibri"/>
          <w:b/>
          <w:color w:val="333333"/>
          <w:sz w:val="22"/>
        </w:rPr>
        <w:t>Data Controller</w:t>
      </w:r>
    </w:p>
    <w:p>
      <w:pPr/>
      <w:r>
        <w:t>The entity that determines the purposes and means of processing personal data.</w:t>
      </w:r>
    </w:p>
    <w:p>
      <w:r>
        <w:rPr>
          <w:rFonts w:ascii="Calibri" w:hAnsi="Calibri"/>
          <w:b/>
          <w:color w:val="333333"/>
          <w:sz w:val="22"/>
        </w:rPr>
        <w:t>Data Processor</w:t>
      </w:r>
    </w:p>
    <w:p>
      <w:pPr/>
      <w:r>
        <w:t>The entity that processes personal data on behalf of the controller.</w:t>
      </w:r>
    </w:p>
    <w:p>
      <w:r>
        <w:rPr>
          <w:rFonts w:ascii="Calibri" w:hAnsi="Calibri"/>
          <w:b/>
          <w:color w:val="333333"/>
          <w:sz w:val="22"/>
        </w:rPr>
        <w:t>Incident Response Team (IRT)</w:t>
      </w:r>
    </w:p>
    <w:p>
      <w:pPr/>
      <w:r>
        <w:t>The specialized team responsible for managing security incidents and breaches.</w:t>
      </w:r>
    </w:p>
    <w:p>
      <w:r>
        <w:rPr>
          <w:rFonts w:ascii="Calibri" w:hAnsi="Calibri"/>
          <w:b/>
          <w:color w:val="333333"/>
          <w:sz w:val="22"/>
        </w:rPr>
        <w:t>Regulatory Authority</w:t>
      </w:r>
    </w:p>
    <w:p>
      <w:pPr/>
      <w:r>
        <w:t>Any governmental or statutory body with jurisdiction over Vistara's operations, such as the ICO in the UK, PDPC in Singapore, or the Data Protection Board in India.</w:t>
      </w:r>
    </w:p>
    <w:p>
      <w:pPr>
        <w:pStyle w:val="Heading1"/>
      </w:pPr>
      <w:r>
        <w:t>4. Breach Definition and Categories</w:t>
      </w:r>
    </w:p>
    <w:p>
      <w:pPr/>
      <w:r>
        <w:t>A data breach is defined as a breach of security leading to the accidental or unlawful destruction, loss, alteration, unauthorized disclosure of, or access to, personal data, customer data, or Vistara proprietary data transmitted, stored, or otherwise processed.</w:t>
      </w:r>
    </w:p>
    <w:p>
      <w:pPr>
        <w:pStyle w:val="ListBullet"/>
      </w:pPr>
      <w:r>
        <w:t>Confidentiality Breach: Unauthorized or accidental disclosure of, or access to, sensitive data.</w:t>
      </w:r>
    </w:p>
    <w:p>
      <w:pPr>
        <w:pStyle w:val="ListBullet"/>
      </w:pPr>
      <w:r>
        <w:t>Integrity Breach: Unauthorized or accidental alteration of data.</w:t>
      </w:r>
    </w:p>
    <w:p>
      <w:pPr>
        <w:pStyle w:val="ListBullet"/>
      </w:pPr>
      <w:r>
        <w:t>Availability Breach: Accidental or unauthorized loss of access to, or destruction of, data.</w:t>
      </w:r>
    </w:p>
    <w:p>
      <w:pPr>
        <w:pStyle w:val="Heading1"/>
      </w:pPr>
      <w:r>
        <w:t>5. Breach Severity Assessment</w:t>
      </w:r>
    </w:p>
    <w:p>
      <w:pPr/>
      <w:r>
        <w:t>Breaches are classified into severity levels aligned with SEC-011:</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Severity</w:t>
            </w:r>
          </w:p>
        </w:tc>
        <w:tc>
          <w:tcPr>
            <w:tcW w:type="dxa" w:w="3120"/>
            <w:shd w:fill="1B3A5C" w:val="clear"/>
          </w:tcPr>
          <w:p>
            <w:pPr>
              <w:jc w:val="center"/>
            </w:pPr>
            <w:r>
              <w:rPr>
                <w:rFonts w:ascii="Calibri" w:hAnsi="Calibri"/>
                <w:b/>
                <w:color w:val="FFFFFF"/>
                <w:sz w:val="20"/>
              </w:rPr>
              <w:t>Description</w:t>
            </w:r>
          </w:p>
        </w:tc>
        <w:tc>
          <w:tcPr>
            <w:tcW w:type="dxa" w:w="3120"/>
            <w:shd w:fill="1B3A5C" w:val="clear"/>
          </w:tcPr>
          <w:p>
            <w:pPr>
              <w:jc w:val="center"/>
            </w:pPr>
            <w:r>
              <w:rPr>
                <w:rFonts w:ascii="Calibri" w:hAnsi="Calibri"/>
                <w:b/>
                <w:color w:val="FFFFFF"/>
                <w:sz w:val="20"/>
              </w:rPr>
              <w:t>Response Time</w:t>
            </w:r>
          </w:p>
        </w:tc>
      </w:tr>
      <w:tr>
        <w:tc>
          <w:tcPr>
            <w:tcW w:type="dxa" w:w="3120"/>
          </w:tcPr>
          <w:p>
            <w:r>
              <w:rPr>
                <w:rFonts w:ascii="Calibri" w:hAnsi="Calibri"/>
                <w:color w:val="333333"/>
                <w:sz w:val="18"/>
              </w:rPr>
              <w:t>SEV-1 (Critical)</w:t>
            </w:r>
          </w:p>
        </w:tc>
        <w:tc>
          <w:tcPr>
            <w:tcW w:type="dxa" w:w="3120"/>
          </w:tcPr>
          <w:p>
            <w:r>
              <w:rPr>
                <w:rFonts w:ascii="Calibri" w:hAnsi="Calibri"/>
                <w:color w:val="333333"/>
                <w:sz w:val="18"/>
              </w:rPr>
              <w:t>Large-scale exposure of Restricted Data, widespread operational impact, active external exploitation.</w:t>
            </w:r>
          </w:p>
        </w:tc>
        <w:tc>
          <w:tcPr>
            <w:tcW w:type="dxa" w:w="3120"/>
          </w:tcPr>
          <w:p>
            <w:r>
              <w:rPr>
                <w:rFonts w:ascii="Calibri" w:hAnsi="Calibri"/>
                <w:color w:val="333333"/>
                <w:sz w:val="18"/>
              </w:rPr>
              <w:t>Immediate / 1 Hour</w:t>
            </w:r>
          </w:p>
        </w:tc>
      </w:tr>
      <w:tr>
        <w:tc>
          <w:tcPr>
            <w:tcW w:type="dxa" w:w="3120"/>
            <w:shd w:fill="F2F6FA" w:val="clear"/>
          </w:tcPr>
          <w:p>
            <w:r>
              <w:rPr>
                <w:rFonts w:ascii="Calibri" w:hAnsi="Calibri"/>
                <w:color w:val="333333"/>
                <w:sz w:val="18"/>
              </w:rPr>
              <w:t>SEV-2 (High)</w:t>
            </w:r>
          </w:p>
        </w:tc>
        <w:tc>
          <w:tcPr>
            <w:tcW w:type="dxa" w:w="3120"/>
            <w:shd w:fill="F2F6FA" w:val="clear"/>
          </w:tcPr>
          <w:p>
            <w:r>
              <w:rPr>
                <w:rFonts w:ascii="Calibri" w:hAnsi="Calibri"/>
                <w:color w:val="333333"/>
                <w:sz w:val="18"/>
              </w:rPr>
              <w:t>Exposure of Confidential Data affecting multiple systems or customers.</w:t>
            </w:r>
          </w:p>
        </w:tc>
        <w:tc>
          <w:tcPr>
            <w:tcW w:type="dxa" w:w="3120"/>
            <w:shd w:fill="F2F6FA" w:val="clear"/>
          </w:tcPr>
          <w:p>
            <w:r>
              <w:rPr>
                <w:rFonts w:ascii="Calibri" w:hAnsi="Calibri"/>
                <w:color w:val="333333"/>
                <w:sz w:val="18"/>
              </w:rPr>
              <w:t>4 Hours</w:t>
            </w:r>
          </w:p>
        </w:tc>
      </w:tr>
      <w:tr>
        <w:tc>
          <w:tcPr>
            <w:tcW w:type="dxa" w:w="3120"/>
          </w:tcPr>
          <w:p>
            <w:r>
              <w:rPr>
                <w:rFonts w:ascii="Calibri" w:hAnsi="Calibri"/>
                <w:color w:val="333333"/>
                <w:sz w:val="18"/>
              </w:rPr>
              <w:t>SEV-3 (Medium)</w:t>
            </w:r>
          </w:p>
        </w:tc>
        <w:tc>
          <w:tcPr>
            <w:tcW w:type="dxa" w:w="3120"/>
          </w:tcPr>
          <w:p>
            <w:r>
              <w:rPr>
                <w:rFonts w:ascii="Calibri" w:hAnsi="Calibri"/>
                <w:color w:val="333333"/>
                <w:sz w:val="18"/>
              </w:rPr>
              <w:t>Localized exposure, contained quickly, limited impact.</w:t>
            </w:r>
          </w:p>
        </w:tc>
        <w:tc>
          <w:tcPr>
            <w:tcW w:type="dxa" w:w="3120"/>
          </w:tcPr>
          <w:p>
            <w:r>
              <w:rPr>
                <w:rFonts w:ascii="Calibri" w:hAnsi="Calibri"/>
                <w:color w:val="333333"/>
                <w:sz w:val="18"/>
              </w:rPr>
              <w:t>24 Hours</w:t>
            </w:r>
          </w:p>
        </w:tc>
      </w:tr>
      <w:tr>
        <w:tc>
          <w:tcPr>
            <w:tcW w:type="dxa" w:w="3120"/>
            <w:shd w:fill="F2F6FA" w:val="clear"/>
          </w:tcPr>
          <w:p>
            <w:r>
              <w:rPr>
                <w:rFonts w:ascii="Calibri" w:hAnsi="Calibri"/>
                <w:color w:val="333333"/>
                <w:sz w:val="18"/>
              </w:rPr>
              <w:t>SEV-4 (Low)</w:t>
            </w:r>
          </w:p>
        </w:tc>
        <w:tc>
          <w:tcPr>
            <w:tcW w:type="dxa" w:w="3120"/>
            <w:shd w:fill="F2F6FA" w:val="clear"/>
          </w:tcPr>
          <w:p>
            <w:r>
              <w:rPr>
                <w:rFonts w:ascii="Calibri" w:hAnsi="Calibri"/>
                <w:color w:val="333333"/>
                <w:sz w:val="18"/>
              </w:rPr>
              <w:t>Near-misses or exposure of Internal Data with no customer impact.</w:t>
            </w:r>
          </w:p>
        </w:tc>
        <w:tc>
          <w:tcPr>
            <w:tcW w:type="dxa" w:w="3120"/>
            <w:shd w:fill="F2F6FA" w:val="clear"/>
          </w:tcPr>
          <w:p>
            <w:r>
              <w:rPr>
                <w:rFonts w:ascii="Calibri" w:hAnsi="Calibri"/>
                <w:color w:val="333333"/>
                <w:sz w:val="18"/>
              </w:rPr>
              <w:t>48 Hours</w:t>
            </w:r>
          </w:p>
        </w:tc>
      </w:tr>
    </w:tbl>
    <w:p/>
    <w:p>
      <w:pPr>
        <w:pStyle w:val="Heading1"/>
      </w:pPr>
      <w:r>
        <w:t>6. Breach Detection and Sources</w:t>
      </w:r>
    </w:p>
    <w:p>
      <w:pPr/>
      <w:r>
        <w:t>Breaches may be detected through various channels:</w:t>
      </w:r>
    </w:p>
    <w:p>
      <w:pPr>
        <w:pStyle w:val="ListBullet"/>
      </w:pPr>
      <w:r>
        <w:t>DLP alerts triggered per DATA-007 parameters.</w:t>
      </w:r>
    </w:p>
    <w:p>
      <w:pPr>
        <w:pStyle w:val="ListBullet"/>
      </w:pPr>
      <w:r>
        <w:t>User reports and internal whistleblowing channels.</w:t>
      </w:r>
    </w:p>
    <w:p>
      <w:pPr>
        <w:pStyle w:val="ListBullet"/>
      </w:pPr>
      <w:r>
        <w:t>Continuous SOC monitoring and SIEM alerts.</w:t>
      </w:r>
    </w:p>
    <w:p>
      <w:pPr>
        <w:pStyle w:val="ListBullet"/>
      </w:pPr>
      <w:r>
        <w:t>Vendor notifications of third-party breaches.</w:t>
      </w:r>
    </w:p>
    <w:p>
      <w:pPr>
        <w:pStyle w:val="ListBullet"/>
      </w:pPr>
      <w:r>
        <w:t>External notifications from security researchers or authorities.</w:t>
      </w:r>
    </w:p>
    <w:p>
      <w:pPr>
        <w:pStyle w:val="Heading1"/>
      </w:pPr>
      <w:r>
        <w:t>7. Notification Requirements by Jurisdiction</w:t>
      </w:r>
    </w:p>
    <w:p>
      <w:pPr/>
      <w:r>
        <w:t>Vistara must comply with specific regional notification mandates. Legal must be engaged immediately.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Jurisdiction</w:t>
            </w:r>
          </w:p>
        </w:tc>
        <w:tc>
          <w:tcPr>
            <w:tcW w:type="dxa" w:w="3120"/>
            <w:shd w:fill="1B3A5C" w:val="clear"/>
          </w:tcPr>
          <w:p>
            <w:pPr>
              <w:jc w:val="center"/>
            </w:pPr>
            <w:r>
              <w:rPr>
                <w:rFonts w:ascii="Calibri" w:hAnsi="Calibri"/>
                <w:b/>
                <w:color w:val="FFFFFF"/>
                <w:sz w:val="20"/>
              </w:rPr>
              <w:t>Regulation</w:t>
            </w:r>
          </w:p>
        </w:tc>
        <w:tc>
          <w:tcPr>
            <w:tcW w:type="dxa" w:w="3120"/>
            <w:shd w:fill="1B3A5C" w:val="clear"/>
          </w:tcPr>
          <w:p>
            <w:pPr>
              <w:jc w:val="center"/>
            </w:pPr>
            <w:r>
              <w:rPr>
                <w:rFonts w:ascii="Calibri" w:hAnsi="Calibri"/>
                <w:b/>
                <w:color w:val="FFFFFF"/>
                <w:sz w:val="20"/>
              </w:rPr>
              <w:t>Requirement</w:t>
            </w:r>
          </w:p>
        </w:tc>
      </w:tr>
      <w:tr>
        <w:tc>
          <w:tcPr>
            <w:tcW w:type="dxa" w:w="3120"/>
          </w:tcPr>
          <w:p>
            <w:r>
              <w:rPr>
                <w:rFonts w:ascii="Calibri" w:hAnsi="Calibri"/>
                <w:color w:val="333333"/>
                <w:sz w:val="18"/>
              </w:rPr>
              <w:t>India</w:t>
            </w:r>
          </w:p>
        </w:tc>
        <w:tc>
          <w:tcPr>
            <w:tcW w:type="dxa" w:w="3120"/>
          </w:tcPr>
          <w:p>
            <w:r>
              <w:rPr>
                <w:rFonts w:ascii="Calibri" w:hAnsi="Calibri"/>
                <w:color w:val="333333"/>
                <w:sz w:val="18"/>
              </w:rPr>
              <w:t>DPDP Act</w:t>
            </w:r>
          </w:p>
        </w:tc>
        <w:tc>
          <w:tcPr>
            <w:tcW w:type="dxa" w:w="3120"/>
          </w:tcPr>
          <w:p>
            <w:r>
              <w:rPr>
                <w:rFonts w:ascii="Calibri" w:hAnsi="Calibri"/>
                <w:color w:val="333333"/>
                <w:sz w:val="18"/>
              </w:rPr>
              <w:t>Notify Data Protection Board without delay; notify affected individuals.</w:t>
            </w:r>
          </w:p>
        </w:tc>
      </w:tr>
      <w:tr>
        <w:tc>
          <w:tcPr>
            <w:tcW w:type="dxa" w:w="3120"/>
            <w:shd w:fill="F2F6FA" w:val="clear"/>
          </w:tcPr>
          <w:p>
            <w:r>
              <w:rPr>
                <w:rFonts w:ascii="Calibri" w:hAnsi="Calibri"/>
                <w:color w:val="333333"/>
                <w:sz w:val="18"/>
              </w:rPr>
              <w:t>UK/EU</w:t>
            </w:r>
          </w:p>
        </w:tc>
        <w:tc>
          <w:tcPr>
            <w:tcW w:type="dxa" w:w="3120"/>
            <w:shd w:fill="F2F6FA" w:val="clear"/>
          </w:tcPr>
          <w:p>
            <w:r>
              <w:rPr>
                <w:rFonts w:ascii="Calibri" w:hAnsi="Calibri"/>
                <w:color w:val="333333"/>
                <w:sz w:val="18"/>
              </w:rPr>
              <w:t>GDPR</w:t>
            </w:r>
          </w:p>
        </w:tc>
        <w:tc>
          <w:tcPr>
            <w:tcW w:type="dxa" w:w="3120"/>
            <w:shd w:fill="F2F6FA" w:val="clear"/>
          </w:tcPr>
          <w:p>
            <w:r>
              <w:rPr>
                <w:rFonts w:ascii="Calibri" w:hAnsi="Calibri"/>
                <w:color w:val="333333"/>
                <w:sz w:val="18"/>
              </w:rPr>
              <w:t>Notify ICO/Supervisory Authority within 72 hours; notify subjects if high risk.</w:t>
            </w:r>
          </w:p>
        </w:tc>
      </w:tr>
      <w:tr>
        <w:tc>
          <w:tcPr>
            <w:tcW w:type="dxa" w:w="3120"/>
          </w:tcPr>
          <w:p>
            <w:r>
              <w:rPr>
                <w:rFonts w:ascii="Calibri" w:hAnsi="Calibri"/>
                <w:color w:val="333333"/>
                <w:sz w:val="18"/>
              </w:rPr>
              <w:t>Singapore</w:t>
            </w:r>
          </w:p>
        </w:tc>
        <w:tc>
          <w:tcPr>
            <w:tcW w:type="dxa" w:w="3120"/>
          </w:tcPr>
          <w:p>
            <w:r>
              <w:rPr>
                <w:rFonts w:ascii="Calibri" w:hAnsi="Calibri"/>
                <w:color w:val="333333"/>
                <w:sz w:val="18"/>
              </w:rPr>
              <w:t>PDPA</w:t>
            </w:r>
          </w:p>
        </w:tc>
        <w:tc>
          <w:tcPr>
            <w:tcW w:type="dxa" w:w="3120"/>
          </w:tcPr>
          <w:p>
            <w:r>
              <w:rPr>
                <w:rFonts w:ascii="Calibri" w:hAnsi="Calibri"/>
                <w:color w:val="333333"/>
                <w:sz w:val="18"/>
              </w:rPr>
              <w:t>Notify PDPC within 3 business days for significant breaches.</w:t>
            </w:r>
          </w:p>
        </w:tc>
      </w:tr>
      <w:tr>
        <w:tc>
          <w:tcPr>
            <w:tcW w:type="dxa" w:w="3120"/>
            <w:shd w:fill="F2F6FA" w:val="clear"/>
          </w:tcPr>
          <w:p>
            <w:r>
              <w:rPr>
                <w:rFonts w:ascii="Calibri" w:hAnsi="Calibri"/>
                <w:color w:val="333333"/>
                <w:sz w:val="18"/>
              </w:rPr>
              <w:t>UAE</w:t>
            </w:r>
          </w:p>
        </w:tc>
        <w:tc>
          <w:tcPr>
            <w:tcW w:type="dxa" w:w="3120"/>
            <w:shd w:fill="F2F6FA" w:val="clear"/>
          </w:tcPr>
          <w:p>
            <w:r>
              <w:rPr>
                <w:rFonts w:ascii="Calibri" w:hAnsi="Calibri"/>
                <w:color w:val="333333"/>
                <w:sz w:val="18"/>
              </w:rPr>
              <w:t>Federal Decree-Law</w:t>
            </w:r>
          </w:p>
        </w:tc>
        <w:tc>
          <w:tcPr>
            <w:tcW w:type="dxa" w:w="3120"/>
            <w:shd w:fill="F2F6FA" w:val="clear"/>
          </w:tcPr>
          <w:p>
            <w:r>
              <w:rPr>
                <w:rFonts w:ascii="Calibri" w:hAnsi="Calibri"/>
                <w:color w:val="333333"/>
                <w:sz w:val="18"/>
              </w:rPr>
              <w:t>Notify Data Office immediately upon discovery of significant risk.</w:t>
            </w:r>
          </w:p>
        </w:tc>
      </w:tr>
      <w:tr>
        <w:tc>
          <w:tcPr>
            <w:tcW w:type="dxa" w:w="3120"/>
          </w:tcPr>
          <w:p>
            <w:r>
              <w:rPr>
                <w:rFonts w:ascii="Calibri" w:hAnsi="Calibri"/>
                <w:color w:val="333333"/>
                <w:sz w:val="18"/>
              </w:rPr>
              <w:t>USA</w:t>
            </w:r>
          </w:p>
        </w:tc>
        <w:tc>
          <w:tcPr>
            <w:tcW w:type="dxa" w:w="3120"/>
          </w:tcPr>
          <w:p>
            <w:r>
              <w:rPr>
                <w:rFonts w:ascii="Calibri" w:hAnsi="Calibri"/>
                <w:color w:val="333333"/>
                <w:sz w:val="18"/>
              </w:rPr>
              <w:t>Various State Laws</w:t>
            </w:r>
          </w:p>
        </w:tc>
        <w:tc>
          <w:tcPr>
            <w:tcW w:type="dxa" w:w="3120"/>
          </w:tcPr>
          <w:p>
            <w:r>
              <w:rPr>
                <w:rFonts w:ascii="Calibri" w:hAnsi="Calibri"/>
                <w:color w:val="333333"/>
                <w:sz w:val="18"/>
              </w:rPr>
              <w:t>Comply with respective state timelines (e.g., CCPA, NYDFS).</w:t>
            </w:r>
          </w:p>
        </w:tc>
      </w:tr>
    </w:tbl>
    <w:p/>
    <w:p>
      <w:pPr>
        <w:pStyle w:val="Heading1"/>
      </w:pPr>
      <w:r>
        <w:t>8. Internal and Customer Notification Protocol</w:t>
      </w:r>
    </w:p>
    <w:p>
      <w:pPr/>
      <w:r>
        <w:t>Internal escalation matrices must be followed strictly:</w:t>
      </w:r>
    </w:p>
    <w:p>
      <w:pPr>
        <w:pStyle w:val="ListBullet"/>
      </w:pPr>
      <w:r>
        <w:t>CISO: Within 1 hour of suspected incident.</w:t>
      </w:r>
    </w:p>
    <w:p>
      <w:pPr>
        <w:pStyle w:val="ListBullet"/>
      </w:pPr>
      <w:r>
        <w:t>CEO &amp; Board: Within 4 hours for SEV-1/2.</w:t>
      </w:r>
    </w:p>
    <w:p>
      <w:pPr>
        <w:pStyle w:val="ListBullet"/>
      </w:pPr>
      <w:r>
        <w:t>Chief Legal Officer: Within 2 hours of confirmation.</w:t>
      </w:r>
    </w:p>
    <w:p>
      <w:pPr>
        <w:pStyle w:val="ListBullet"/>
      </w:pPr>
      <w:r>
        <w:t>Data Owners: Within 24 hours.</w:t>
      </w:r>
    </w:p>
    <w:p>
      <w:pPr>
        <w:pStyle w:val="ListBullet"/>
      </w:pPr>
      <w:r>
        <w:t>Customers: Typically 48-72 hours, governed strictly by specific contractual SLAs.</w:t>
      </w:r>
    </w:p>
    <w:p>
      <w:pPr>
        <w:pStyle w:val="Heading1"/>
      </w:pPr>
      <w:r>
        <w:t>9. Post-Breach Activities</w:t>
      </w:r>
    </w:p>
    <w:p>
      <w:pPr/>
      <w:r>
        <w:t>Following containment and notification, a post-incident review (PIR) must be conducted. The breach register must be updated, regulatory liaison maintained, and cyber insurance providers notified. Third-party breach handling protocols must be audited.</w:t>
      </w:r>
    </w:p>
    <w:p>
      <w:pPr>
        <w:pStyle w:val="Heading1"/>
      </w:pPr>
      <w:r>
        <w:t>10. Scenarios</w:t>
      </w:r>
    </w:p>
    <w:p>
      <w:pPr>
        <w:pStyle w:val="Heading3"/>
      </w:pPr>
      <w:r>
        <w:t>Scenario 1: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2: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3: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4: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5: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6: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7: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8: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9: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3"/>
      </w:pPr>
      <w:r>
        <w:t>Scenario 10: Phishing Attack Leading to Data Exfiltration</w:t>
      </w:r>
    </w:p>
    <w:p>
      <w:r>
        <w:rPr>
          <w:b/>
          <w:color w:val="1B3A5C"/>
        </w:rPr>
        <w:t xml:space="preserve">Situation: </w:t>
      </w:r>
      <w:r>
        <w:t>An employee clicks a malicious link, leading to credential theft and access to customer data.</w:t>
      </w:r>
    </w:p>
    <w:p>
      <w:r>
        <w:rPr>
          <w:b/>
          <w:color w:val="1B3A5C"/>
        </w:rPr>
        <w:t xml:space="preserve">Relevant Requirements: </w:t>
      </w:r>
      <w:r>
        <w:t>Must detect via SOC, contain account, assess accessed data, and notify within 72 hours.</w:t>
      </w:r>
    </w:p>
    <w:p>
      <w:r>
        <w:rPr>
          <w:b/>
          <w:color w:val="1B3A5C"/>
        </w:rPr>
        <w:t xml:space="preserve">Expected Process: </w:t>
      </w:r>
      <w:r>
        <w:t>1. Disable account. 2. Scope exposure. 3. Notify CISO and Legal. 4. Prepare customer communications.</w:t>
      </w:r>
    </w:p>
    <w:p>
      <w:r>
        <w:rPr>
          <w:b/>
          <w:color w:val="1B3A5C"/>
        </w:rPr>
        <w:t xml:space="preserve">Outcome: </w:t>
      </w:r>
      <w:r>
        <w:t>Contained within 4 hours; customer notified at 48 hours.</w:t>
      </w:r>
    </w:p>
    <w:p/>
    <w:p>
      <w:pPr>
        <w:pStyle w:val="Heading1"/>
      </w:pPr>
      <w:r>
        <w:t>11. Frequently Asked Questions (FAQ)</w:t>
      </w:r>
    </w:p>
    <w:p>
      <w:r>
        <w:rPr>
          <w:rFonts w:ascii="Calibri" w:hAnsi="Calibri"/>
          <w:b/>
          <w:color w:val="1B3A5C"/>
          <w:sz w:val="22"/>
        </w:rPr>
        <w:t>Q: Question 1: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2: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3: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4: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5: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6: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7: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8: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9: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10: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11: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12: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13: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14: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r>
        <w:rPr>
          <w:rFonts w:ascii="Calibri" w:hAnsi="Calibri"/>
          <w:b/>
          <w:color w:val="1B3A5C"/>
          <w:sz w:val="22"/>
        </w:rPr>
        <w:t>Q: Question 15: What should I do if I accidentally email sensitive data to the wrong person?</w:t>
      </w:r>
    </w:p>
    <w:p>
      <w:pPr>
        <w:spacing w:after="240"/>
      </w:pPr>
      <w:r>
        <w:rPr>
          <w:rFonts w:ascii="Calibri" w:hAnsi="Calibri"/>
          <w:color w:val="333333"/>
          <w:sz w:val="22"/>
        </w:rPr>
        <w:t>A: Report it immediately to the SOC via the incident reporting portal. Do not attempt to cover it up; timely reporting is critical for mitigation.</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InfoSec</w:t>
            </w:r>
          </w:p>
        </w:tc>
        <w:tc>
          <w:tcPr>
            <w:tcW w:type="dxa" w:w="4320"/>
          </w:tcPr>
          <w:p>
            <w:r>
              <w:rPr>
                <w:rFonts w:ascii="Calibri" w:hAnsi="Calibri"/>
                <w:color w:val="333333"/>
                <w:sz w:val="18"/>
              </w:rPr>
              <w:t>Initial creation.</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Dec 2025</w:t>
            </w:r>
          </w:p>
        </w:tc>
        <w:tc>
          <w:tcPr>
            <w:tcW w:type="dxa" w:w="2160"/>
            <w:shd w:fill="F2F6FA" w:val="clear"/>
          </w:tcPr>
          <w:p>
            <w:r>
              <w:rPr>
                <w:rFonts w:ascii="Calibri" w:hAnsi="Calibri"/>
                <w:color w:val="333333"/>
                <w:sz w:val="18"/>
              </w:rPr>
              <w:t>CISO</w:t>
            </w:r>
          </w:p>
        </w:tc>
        <w:tc>
          <w:tcPr>
            <w:tcW w:type="dxa" w:w="4320"/>
            <w:shd w:fill="F2F6FA" w:val="clear"/>
          </w:tcPr>
          <w:p>
            <w:r>
              <w:rPr>
                <w:rFonts w:ascii="Calibri" w:hAnsi="Calibri"/>
                <w:color w:val="333333"/>
                <w:sz w:val="18"/>
              </w:rPr>
              <w:t>Alignment with new DPDP act.</w:t>
            </w:r>
          </w:p>
        </w:tc>
      </w:tr>
      <w:tr>
        <w:tc>
          <w:tcPr>
            <w:tcW w:type="dxa" w:w="1152"/>
          </w:tcPr>
          <w:p>
            <w:r>
              <w:rPr>
                <w:rFonts w:ascii="Calibri" w:hAnsi="Calibri"/>
                <w:color w:val="333333"/>
                <w:sz w:val="18"/>
              </w:rPr>
              <w:t>2.1</w:t>
            </w:r>
          </w:p>
        </w:tc>
        <w:tc>
          <w:tcPr>
            <w:tcW w:type="dxa" w:w="1872"/>
          </w:tcPr>
          <w:p>
            <w:r>
              <w:rPr>
                <w:rFonts w:ascii="Calibri" w:hAnsi="Calibri"/>
                <w:color w:val="333333"/>
                <w:sz w:val="18"/>
              </w:rPr>
              <w:t>01 Jun 2026</w:t>
            </w:r>
          </w:p>
        </w:tc>
        <w:tc>
          <w:tcPr>
            <w:tcW w:type="dxa" w:w="2160"/>
          </w:tcPr>
          <w:p>
            <w:r>
              <w:rPr>
                <w:rFonts w:ascii="Calibri" w:hAnsi="Calibri"/>
                <w:color w:val="333333"/>
                <w:sz w:val="18"/>
              </w:rPr>
              <w:t>CISO</w:t>
            </w:r>
          </w:p>
        </w:tc>
        <w:tc>
          <w:tcPr>
            <w:tcW w:type="dxa" w:w="4320"/>
          </w:tcPr>
          <w:p>
            <w:r>
              <w:rPr>
                <w:rFonts w:ascii="Calibri" w:hAnsi="Calibri"/>
                <w:color w:val="333333"/>
                <w:sz w:val="18"/>
              </w:rPr>
              <w:t>Updated jurisdictional timelines.</w:t>
            </w:r>
          </w:p>
        </w:tc>
      </w:tr>
    </w:tbl>
    <w:p/>
    <w:p>
      <w:pPr>
        <w:pStyle w:val="Heading1"/>
      </w:pPr>
      <w:r>
        <w:t>12. Appendix A: Extended Operational Procedures</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p>
      <w:pPr/>
      <w:r>
        <w:t xml:space="preserve">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This section outlines the extensive step-by-step procedures required during a breach. It includes details on evidence preservation, chain of custody, coordination with external forensic investigators, media communication holding statements, and exact API calls to isolate cloud environments.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DATA-005</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