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Records Management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DATA-006</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Records Management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CFO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July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DATA-002, FIN-008, HR-006, LEGAL-007, SEC-005</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The purpose of this policy is to establish the standards and guidelines for Vistara Global Systems Pvt. Ltd. and all its subsidiaries. As a global technology enterprise operating in multiple jurisdictions including India, Singapore, UAE, UK, and the USA, we process vast amounts of sensitive information. This document mandates the correct procedures to ensure compliance with international regulations, safeguard intellectual property, and maintain customer trust. Failure to adhere to this policy may result in disciplinary action up to and including termination of employment or contract.</w:t>
      </w:r>
    </w:p>
    <w:p>
      <w:pPr>
        <w:pStyle w:val="Heading1"/>
      </w:pPr>
      <w:r>
        <w:t>2. Scope and Applicability</w:t>
      </w:r>
    </w:p>
    <w:p>
      <w:pPr/>
      <w:r>
        <w:t>This policy applies to all employees, contractors, third-party vendors, consultants, and business partners of Vistara Global Systems. It covers operations across all locations including Bengaluru, Hyderabad, Pune, Mumbai, Gurugram, Chennai, Kolkata, New Delhi, Singapore, Dubai, London, and Austin. It applies to all systems, networks, devices, and physical locations owned, leased, or operated by Vistara.</w:t>
      </w:r>
    </w:p>
    <w:p>
      <w:pPr>
        <w:pStyle w:val="Heading1"/>
      </w:pPr>
      <w:r>
        <w:t>3. Glossary of Terms</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pPr>
        <w:pStyle w:val="Heading1"/>
      </w:pPr>
      <w:r>
        <w:t>4. Records Definition and Categories</w:t>
      </w:r>
    </w:p>
    <w:p>
      <w:pPr/>
      <w:r>
        <w:t>A record is any document, regardless of format, created or received by Vistara in connection with business operations. Categories include:</w:t>
      </w:r>
    </w:p>
    <w:p>
      <w:pPr>
        <w:pStyle w:val="ListBullet"/>
      </w:pPr>
      <w:r>
        <w:t>Corporate records (Board minutes, resolutions)</w:t>
      </w:r>
    </w:p>
    <w:p>
      <w:pPr>
        <w:pStyle w:val="ListBullet"/>
      </w:pPr>
      <w:r>
        <w:t>Financial records (Tax, payroll, audits)</w:t>
      </w:r>
    </w:p>
    <w:p>
      <w:pPr>
        <w:pStyle w:val="ListBullet"/>
      </w:pPr>
      <w:r>
        <w:t>HR records (Employee files, performance)</w:t>
      </w:r>
    </w:p>
    <w:p>
      <w:pPr>
        <w:pStyle w:val="ListBullet"/>
      </w:pPr>
      <w:r>
        <w:t>Legal records (Contracts, IP registrations)</w:t>
      </w:r>
    </w:p>
    <w:p>
      <w:pPr>
        <w:pStyle w:val="ListBullet"/>
      </w:pPr>
      <w:r>
        <w:t>Engineering records (Architecture, code reviews)</w:t>
      </w:r>
    </w:p>
    <w:p>
      <w:pPr>
        <w:pStyle w:val="ListBullet"/>
      </w:pPr>
      <w:r>
        <w:t>Customer records (Agreements, support logs)</w:t>
      </w:r>
    </w:p>
    <w:p>
      <w:pPr>
        <w:pStyle w:val="ListBullet"/>
      </w:pPr>
      <w:r>
        <w:t>Security records (Audit trails, SOC logs)</w:t>
      </w:r>
    </w:p>
    <w:p>
      <w:pPr>
        <w:pStyle w:val="Heading1"/>
      </w:pPr>
      <w:r>
        <w:t>5. Records Lifecycle</w:t>
      </w:r>
    </w:p>
    <w:p>
      <w:pPr/>
      <w:r>
        <w:t>The lifecycle encompasses Creation, Classification (per SEC-005), Storage, Retrieval, Retention (per DATA-002), and Disposition. All records must align with corporate data classification schemas.</w:t>
      </w:r>
    </w:p>
    <w:p>
      <w:pPr>
        <w:pStyle w:val="Heading1"/>
      </w:pPr>
      <w:r>
        <w:t>6. Storage and Access</w:t>
      </w:r>
    </w:p>
    <w:p>
      <w:pPr/>
      <w:r>
        <w:t>Approved repositories include SharePoint, Confluence, HRMS, and ERP systems. No local-only storage (e.g., laptop hard drives) is permitted for business records. Access controls must follow SEC-002 (RBAC).</w:t>
      </w:r>
    </w:p>
    <w:p>
      <w:pPr>
        <w:pStyle w:val="Heading1"/>
      </w:pPr>
      <w:r>
        <w:t>7. Legal Hold and Disposition</w:t>
      </w:r>
    </w:p>
    <w:p>
      <w:pPr/>
      <w:r>
        <w:t>Upon issuance of a Legal Hold by the Legal Department, all normal retention and destruction schedules are suspended. Non-compliance is a severe offense. Standard disposition procedures per DATA-002 apply otherwise, requiring secure shredding or cryptographic wiping.</w:t>
      </w:r>
    </w:p>
    <w:p>
      <w:pPr>
        <w:pStyle w:val="Heading1"/>
      </w:pPr>
      <w:r>
        <w:t>8. Scenarios</w:t>
      </w:r>
    </w:p>
    <w:p>
      <w:pPr>
        <w:pStyle w:val="Heading3"/>
      </w:pPr>
      <w:r>
        <w:t>Scenario 1: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2: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3: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4: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5: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6: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7: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8: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9: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3"/>
      </w:pPr>
      <w:r>
        <w:t>Scenario 10: Handling Legacy Contracts</w:t>
      </w:r>
    </w:p>
    <w:p>
      <w:r>
        <w:rPr>
          <w:b/>
          <w:color w:val="1B3A5C"/>
        </w:rPr>
        <w:t xml:space="preserve">Situation: </w:t>
      </w:r>
      <w:r>
        <w:t>An employee finds physical copies of expired vendor contracts.</w:t>
      </w:r>
    </w:p>
    <w:p>
      <w:r>
        <w:rPr>
          <w:b/>
          <w:color w:val="1B3A5C"/>
        </w:rPr>
        <w:t xml:space="preserve">Relevant Requirements: </w:t>
      </w:r>
      <w:r>
        <w:t>DATA-002 Retention Schedule, DATA-006 Disposition.</w:t>
      </w:r>
    </w:p>
    <w:p>
      <w:r>
        <w:rPr>
          <w:b/>
          <w:color w:val="1B3A5C"/>
        </w:rPr>
        <w:t xml:space="preserve">Expected Process: </w:t>
      </w:r>
      <w:r>
        <w:t>Verify retention period. If expired and no legal hold, proceed to secure physical shredding.</w:t>
      </w:r>
    </w:p>
    <w:p>
      <w:r>
        <w:rPr>
          <w:b/>
          <w:color w:val="1B3A5C"/>
        </w:rPr>
        <w:t xml:space="preserve">Outcome: </w:t>
      </w:r>
      <w:r>
        <w:t>Records destroyed compliantly.</w:t>
      </w:r>
    </w:p>
    <w:p/>
    <w:p>
      <w:pPr>
        <w:pStyle w:val="Heading1"/>
      </w:pPr>
      <w:r>
        <w:t>9. Frequently Asked Questions (FAQ)</w:t>
      </w:r>
    </w:p>
    <w:p>
      <w:r>
        <w:rPr>
          <w:rFonts w:ascii="Calibri" w:hAnsi="Calibri"/>
          <w:b/>
          <w:color w:val="1B3A5C"/>
          <w:sz w:val="22"/>
        </w:rPr>
        <w:t>Q: Q1: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Q2: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Q3: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Q4: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Q5: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Q6: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Q7: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Q8: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Q9: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Q10: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Q11: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Q12: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Q13: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Q14: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r>
        <w:rPr>
          <w:rFonts w:ascii="Calibri" w:hAnsi="Calibri"/>
          <w:b/>
          <w:color w:val="1B3A5C"/>
          <w:sz w:val="22"/>
        </w:rPr>
        <w:t>Q: Q15: Are Slack or Teams messages considered records?</w:t>
      </w:r>
    </w:p>
    <w:p>
      <w:pPr>
        <w:spacing w:after="240"/>
      </w:pPr>
      <w:r>
        <w:rPr>
          <w:rFonts w:ascii="Calibri" w:hAnsi="Calibri"/>
          <w:color w:val="333333"/>
          <w:sz w:val="22"/>
        </w:rPr>
        <w:t>A: Yes, if they document business decisions. However, Vistara enforces a 90-day auto-delete on messaging platforms unless a legal hold is applied. Official decisions must be documented in approved systems like Confluence or JIRA.</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Jan 2026</w:t>
            </w:r>
          </w:p>
        </w:tc>
        <w:tc>
          <w:tcPr>
            <w:tcW w:type="dxa" w:w="2160"/>
          </w:tcPr>
          <w:p>
            <w:r>
              <w:rPr>
                <w:rFonts w:ascii="Calibri" w:hAnsi="Calibri"/>
                <w:color w:val="333333"/>
                <w:sz w:val="18"/>
              </w:rPr>
              <w:t>Legal</w:t>
            </w:r>
          </w:p>
        </w:tc>
        <w:tc>
          <w:tcPr>
            <w:tcW w:type="dxa" w:w="4320"/>
          </w:tcPr>
          <w:p>
            <w:r>
              <w:rPr>
                <w:rFonts w:ascii="Calibri" w:hAnsi="Calibri"/>
                <w:color w:val="333333"/>
                <w:sz w:val="18"/>
              </w:rPr>
              <w:t>General update.</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Jul 2026</w:t>
            </w:r>
          </w:p>
        </w:tc>
        <w:tc>
          <w:tcPr>
            <w:tcW w:type="dxa" w:w="2160"/>
            <w:shd w:fill="F2F6FA" w:val="clear"/>
          </w:tcPr>
          <w:p>
            <w:r>
              <w:rPr>
                <w:rFonts w:ascii="Calibri" w:hAnsi="Calibri"/>
                <w:color w:val="333333"/>
                <w:sz w:val="18"/>
              </w:rPr>
              <w:t>Legal</w:t>
            </w:r>
          </w:p>
        </w:tc>
        <w:tc>
          <w:tcPr>
            <w:tcW w:type="dxa" w:w="4320"/>
            <w:shd w:fill="F2F6FA" w:val="clear"/>
          </w:tcPr>
          <w:p>
            <w:r>
              <w:rPr>
                <w:rFonts w:ascii="Calibri" w:hAnsi="Calibri"/>
                <w:color w:val="333333"/>
                <w:sz w:val="18"/>
              </w:rPr>
              <w:t>Updated approved repositories.</w:t>
            </w:r>
          </w:p>
        </w:tc>
      </w:tr>
    </w:tbl>
    <w:p/>
    <w:p>
      <w:pPr>
        <w:pStyle w:val="Heading1"/>
      </w:pPr>
      <w:r>
        <w:t>10. Appendix B: Detailed Retention Schedules and Archival Framework</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p>
      <w:pPr/>
      <w:r>
        <w:t xml:space="preserve">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The detailed archival framework specifies the exact metadata required for long-term storage of corporate records. Metadata includes author, department, creation date, classification, and applicable regulatory tags.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DATA-006</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