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Loss Prevention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DATA-007</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DATA-007</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Loss Prevention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Biannual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IT and Business Users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DATA-004, DATA-005, DATA-008, SEC-001, SEC-005, SEC-007, SEC-009, AI-002, AI-003</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purpose of this policy is to establish the standards and guidelines for Vistara Global Systems Pvt. Ltd. and all its subsidiaries. As a global technology enterprise operating in multiple jurisdictions including India, Singapore, UAE, UK, and the USA, we process vast amounts of sensitive information. This document mandates the correct procedures to ensure compliance with international regulations, safeguard intellectual property, and maintain customer trust. Failure to adhere to this policy may result in disciplinary action up to and including termination of employment or contract.</w:t>
      </w:r>
    </w:p>
    <w:p>
      <w:pPr>
        <w:pStyle w:val="Heading1"/>
      </w:pPr>
      <w:r>
        <w:t>2. Scope and Applicability</w:t>
      </w:r>
    </w:p>
    <w:p>
      <w:pPr/>
      <w:r>
        <w:t>This policy applies to all employees, contractors, third-party vendors, consultants, and business partners of Vistara Global Systems. It covers operations across all locations including Bengaluru, Hyderabad, Pune, Mumbai, Gurugram, Chennai, Kolkata, New Delhi, Singapore, Dubai, London, and Austin. It applies to all systems, networks, devices, and physical locations owned, leased, or operated by Vistara.</w:t>
      </w:r>
    </w:p>
    <w:p>
      <w:pPr>
        <w:pStyle w:val="Heading1"/>
      </w:pPr>
      <w:r>
        <w:t>3. Glossary of Terms</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pPr>
        <w:pStyle w:val="Heading1"/>
      </w:pPr>
      <w:r>
        <w:t>4. DLP Strategy and Technologies</w:t>
      </w:r>
    </w:p>
    <w:p>
      <w:pPr/>
      <w:r>
        <w:t>The strategy prevents unauthorized disclosure of Confidential/Restricted data. We utilize Microsoft Purview DLP for endpoints/email/cloud, network DLP at boundaries, and Database Activity Monitoring per ENG-007.</w:t>
      </w:r>
    </w:p>
    <w:p>
      <w:pPr>
        <w:pStyle w:val="Heading1"/>
      </w:pPr>
      <w:r>
        <w:t>5. DLP Policies by Data Classification</w:t>
      </w:r>
    </w:p>
    <w:tbl>
      <w:tblPr>
        <w:tblStyle w:val="TableGrid"/>
        <w:tblW w:type="auto" w:w="0"/>
        <w:jc w:val="left"/>
        <w:tblLook w:firstColumn="1" w:firstRow="1" w:lastColumn="0" w:lastRow="0" w:noHBand="0" w:noVBand="1" w:val="04A0"/>
      </w:tblPr>
      <w:tblGrid>
        <w:gridCol w:w="4680"/>
        <w:gridCol w:w="4680"/>
      </w:tblGrid>
      <w:tr>
        <w:tc>
          <w:tcPr>
            <w:tcW w:type="dxa" w:w="4680"/>
            <w:shd w:fill="1B3A5C" w:val="clear"/>
          </w:tcPr>
          <w:p>
            <w:pPr>
              <w:jc w:val="center"/>
            </w:pPr>
            <w:r>
              <w:rPr>
                <w:rFonts w:ascii="Calibri" w:hAnsi="Calibri"/>
                <w:b/>
                <w:color w:val="FFFFFF"/>
                <w:sz w:val="20"/>
              </w:rPr>
              <w:t>Classification</w:t>
            </w:r>
          </w:p>
        </w:tc>
        <w:tc>
          <w:tcPr>
            <w:tcW w:type="dxa" w:w="4680"/>
            <w:shd w:fill="1B3A5C" w:val="clear"/>
          </w:tcPr>
          <w:p>
            <w:pPr>
              <w:jc w:val="center"/>
            </w:pPr>
            <w:r>
              <w:rPr>
                <w:rFonts w:ascii="Calibri" w:hAnsi="Calibri"/>
                <w:b/>
                <w:color w:val="FFFFFF"/>
                <w:sz w:val="20"/>
              </w:rPr>
              <w:t>Policy Rule</w:t>
            </w:r>
          </w:p>
        </w:tc>
      </w:tr>
      <w:tr>
        <w:tc>
          <w:tcPr>
            <w:tcW w:type="dxa" w:w="4680"/>
          </w:tcPr>
          <w:p>
            <w:r>
              <w:rPr>
                <w:rFonts w:ascii="Calibri" w:hAnsi="Calibri"/>
                <w:color w:val="333333"/>
                <w:sz w:val="18"/>
              </w:rPr>
              <w:t>PUBLIC</w:t>
            </w:r>
          </w:p>
        </w:tc>
        <w:tc>
          <w:tcPr>
            <w:tcW w:type="dxa" w:w="4680"/>
          </w:tcPr>
          <w:p>
            <w:r>
              <w:rPr>
                <w:rFonts w:ascii="Calibri" w:hAnsi="Calibri"/>
                <w:color w:val="333333"/>
                <w:sz w:val="18"/>
              </w:rPr>
              <w:t>Monitor only, no blocking.</w:t>
            </w:r>
          </w:p>
        </w:tc>
      </w:tr>
      <w:tr>
        <w:tc>
          <w:tcPr>
            <w:tcW w:type="dxa" w:w="4680"/>
            <w:shd w:fill="F2F6FA" w:val="clear"/>
          </w:tcPr>
          <w:p>
            <w:r>
              <w:rPr>
                <w:rFonts w:ascii="Calibri" w:hAnsi="Calibri"/>
                <w:color w:val="333333"/>
                <w:sz w:val="18"/>
              </w:rPr>
              <w:t>INTERNAL</w:t>
            </w:r>
          </w:p>
        </w:tc>
        <w:tc>
          <w:tcPr>
            <w:tcW w:type="dxa" w:w="4680"/>
            <w:shd w:fill="F2F6FA" w:val="clear"/>
          </w:tcPr>
          <w:p>
            <w:r>
              <w:rPr>
                <w:rFonts w:ascii="Calibri" w:hAnsi="Calibri"/>
                <w:color w:val="333333"/>
                <w:sz w:val="18"/>
              </w:rPr>
              <w:t>Log and audit abnormal transfer volumes.</w:t>
            </w:r>
          </w:p>
        </w:tc>
      </w:tr>
      <w:tr>
        <w:tc>
          <w:tcPr>
            <w:tcW w:type="dxa" w:w="4680"/>
          </w:tcPr>
          <w:p>
            <w:r>
              <w:rPr>
                <w:rFonts w:ascii="Calibri" w:hAnsi="Calibri"/>
                <w:color w:val="333333"/>
                <w:sz w:val="18"/>
              </w:rPr>
              <w:t>CONFIDENTIAL</w:t>
            </w:r>
          </w:p>
        </w:tc>
        <w:tc>
          <w:tcPr>
            <w:tcW w:type="dxa" w:w="4680"/>
          </w:tcPr>
          <w:p>
            <w:r>
              <w:rPr>
                <w:rFonts w:ascii="Calibri" w:hAnsi="Calibri"/>
                <w:color w:val="333333"/>
                <w:sz w:val="18"/>
              </w:rPr>
              <w:t>Block external sharing without explicit manager approval via workflow.</w:t>
            </w:r>
          </w:p>
        </w:tc>
      </w:tr>
      <w:tr>
        <w:tc>
          <w:tcPr>
            <w:tcW w:type="dxa" w:w="4680"/>
            <w:shd w:fill="F2F6FA" w:val="clear"/>
          </w:tcPr>
          <w:p>
            <w:r>
              <w:rPr>
                <w:rFonts w:ascii="Calibri" w:hAnsi="Calibri"/>
                <w:color w:val="333333"/>
                <w:sz w:val="18"/>
              </w:rPr>
              <w:t>RESTRICTED</w:t>
            </w:r>
          </w:p>
        </w:tc>
        <w:tc>
          <w:tcPr>
            <w:tcW w:type="dxa" w:w="4680"/>
            <w:shd w:fill="F2F6FA" w:val="clear"/>
          </w:tcPr>
          <w:p>
            <w:r>
              <w:rPr>
                <w:rFonts w:ascii="Calibri" w:hAnsi="Calibri"/>
                <w:color w:val="333333"/>
                <w:sz w:val="18"/>
              </w:rPr>
              <w:t>Block all unauthorized transfers. Immediate SOC alert and potential account lockdown.</w:t>
            </w:r>
          </w:p>
        </w:tc>
      </w:tr>
    </w:tbl>
    <w:p/>
    <w:p>
      <w:pPr>
        <w:pStyle w:val="Heading1"/>
      </w:pPr>
      <w:r>
        <w:t>6. DLP Rules and Channels</w:t>
      </w:r>
    </w:p>
    <w:p>
      <w:pPr/>
      <w:r>
        <w:t>Rules encompass PII patterns, credit card numbers, source code signatures, and custom rules for Vistara IP. Monitored channels include email (SEC-009), web uploads, USB (SEC-006), cloud storage, print, messaging apps, and AI tools (AI-002).</w:t>
      </w:r>
    </w:p>
    <w:p>
      <w:pPr>
        <w:pStyle w:val="Heading1"/>
      </w:pPr>
      <w:r>
        <w:t>7. Incident Handling and Exceptions</w:t>
      </w:r>
    </w:p>
    <w:p>
      <w:pPr/>
      <w:r>
        <w:t>The SOC handles incidents by reviewing false positives and escalating true positives. Exceptions require business justification, manager approval, and Security sign-off, and must be time-limited.</w:t>
      </w:r>
    </w:p>
    <w:p>
      <w:pPr>
        <w:pStyle w:val="Heading1"/>
      </w:pPr>
      <w:r>
        <w:t>8. Scenarios</w:t>
      </w:r>
    </w:p>
    <w:p>
      <w:pPr>
        <w:pStyle w:val="Heading3"/>
      </w:pPr>
      <w:r>
        <w:t>Scenario 1: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2: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3: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4: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5: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6: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7: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8: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9: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3"/>
      </w:pPr>
      <w:r>
        <w:t>Scenario 10: Uploading Code to Public GitHub</w:t>
      </w:r>
    </w:p>
    <w:p>
      <w:r>
        <w:rPr>
          <w:b/>
          <w:color w:val="1B3A5C"/>
        </w:rPr>
        <w:t xml:space="preserve">Situation: </w:t>
      </w:r>
      <w:r>
        <w:t>Developer attempts to paste internal source code into a public GitHub repository.</w:t>
      </w:r>
    </w:p>
    <w:p>
      <w:r>
        <w:rPr>
          <w:b/>
          <w:color w:val="1B3A5C"/>
        </w:rPr>
        <w:t xml:space="preserve">Relevant Requirements: </w:t>
      </w:r>
      <w:r>
        <w:t>DLP Rule 'Source Code Block', RESTRICTED data handling.</w:t>
      </w:r>
    </w:p>
    <w:p>
      <w:r>
        <w:rPr>
          <w:b/>
          <w:color w:val="1B3A5C"/>
        </w:rPr>
        <w:t xml:space="preserve">Expected Process: </w:t>
      </w:r>
      <w:r>
        <w:t>Endpoint DLP blocks the clipboard paste action. SOC receives an alert.</w:t>
      </w:r>
    </w:p>
    <w:p>
      <w:r>
        <w:rPr>
          <w:b/>
          <w:color w:val="1B3A5C"/>
        </w:rPr>
        <w:t xml:space="preserve">Outcome: </w:t>
      </w:r>
      <w:r>
        <w:t>Action blocked; user receives policy reminder. Repeated offenses trigger HR escalation.</w:t>
      </w:r>
    </w:p>
    <w:p/>
    <w:p>
      <w:pPr>
        <w:pStyle w:val="Heading1"/>
      </w:pPr>
      <w:r>
        <w:t>9. Frequently Asked Questions (FAQ)</w:t>
      </w:r>
    </w:p>
    <w:p>
      <w:r>
        <w:rPr>
          <w:rFonts w:ascii="Calibri" w:hAnsi="Calibri"/>
          <w:b/>
          <w:color w:val="1B3A5C"/>
          <w:sz w:val="22"/>
        </w:rPr>
        <w:t>Q: Q1: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Q2: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Q3: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Q4: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Q5: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Q6: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Q7: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Q8: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Q9: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Q10: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Q11: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Q12: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Q13: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Q14: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r>
        <w:rPr>
          <w:rFonts w:ascii="Calibri" w:hAnsi="Calibri"/>
          <w:b/>
          <w:color w:val="1B3A5C"/>
          <w:sz w:val="22"/>
        </w:rPr>
        <w:t>Q: Q15: Why was my email to a vendor blocked?</w:t>
      </w:r>
    </w:p>
    <w:p>
      <w:pPr>
        <w:spacing w:after="240"/>
      </w:pPr>
      <w:r>
        <w:rPr>
          <w:rFonts w:ascii="Calibri" w:hAnsi="Calibri"/>
          <w:color w:val="333333"/>
          <w:sz w:val="22"/>
        </w:rPr>
        <w:t>A: Your email likely contained attachments classified as Confidential or Restricted. Ensure you have the correct NDA in place and use the secure file transfer portal instead of email.</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1.1</w:t>
            </w:r>
          </w:p>
        </w:tc>
        <w:tc>
          <w:tcPr>
            <w:tcW w:type="dxa" w:w="1872"/>
          </w:tcPr>
          <w:p>
            <w:r>
              <w:rPr>
                <w:rFonts w:ascii="Calibri" w:hAnsi="Calibri"/>
                <w:color w:val="333333"/>
                <w:sz w:val="18"/>
              </w:rPr>
              <w:t>01 Feb 2026</w:t>
            </w:r>
          </w:p>
        </w:tc>
        <w:tc>
          <w:tcPr>
            <w:tcW w:type="dxa" w:w="2160"/>
          </w:tcPr>
          <w:p>
            <w:r>
              <w:rPr>
                <w:rFonts w:ascii="Calibri" w:hAnsi="Calibri"/>
                <w:color w:val="333333"/>
                <w:sz w:val="18"/>
              </w:rPr>
              <w:t>SecOps</w:t>
            </w:r>
          </w:p>
        </w:tc>
        <w:tc>
          <w:tcPr>
            <w:tcW w:type="dxa" w:w="4320"/>
          </w:tcPr>
          <w:p>
            <w:r>
              <w:rPr>
                <w:rFonts w:ascii="Calibri" w:hAnsi="Calibri"/>
                <w:color w:val="333333"/>
                <w:sz w:val="18"/>
              </w:rPr>
              <w:t>Updated rule sets.</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01 Aug 2026</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Added AI tool monitoring.</w:t>
            </w:r>
          </w:p>
        </w:tc>
      </w:tr>
    </w:tbl>
    <w:p/>
    <w:p>
      <w:pPr>
        <w:pStyle w:val="Heading1"/>
      </w:pPr>
      <w:r>
        <w:t>10. Appendix C: Comprehensive DLP Rule Syntax and Tuning</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p>
      <w:pPr/>
      <w:r>
        <w:t xml:space="preserve">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This section provides the exhaustive list of regular expressions, exact data match (EDM) criteria, and machine learning models used to detect sensitive information. It includes threshold settings for false positive minimization and performance impact analysis.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DATA-007</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